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5DC31" w14:textId="57F1FB7B" w:rsidR="00134B39" w:rsidRDefault="00134B39" w:rsidP="00134B39">
      <w:pPr>
        <w:pStyle w:val="CRCoverPage"/>
        <w:tabs>
          <w:tab w:val="right" w:pos="9639"/>
        </w:tabs>
        <w:spacing w:after="0"/>
        <w:rPr>
          <w:b/>
          <w:i/>
          <w:noProof/>
          <w:sz w:val="28"/>
        </w:rPr>
      </w:pPr>
      <w:r>
        <w:rPr>
          <w:b/>
          <w:noProof/>
          <w:sz w:val="24"/>
        </w:rPr>
        <w:t>3GPP TSG-CT WG4 Meeting #12</w:t>
      </w:r>
      <w:r w:rsidR="00D86F58">
        <w:rPr>
          <w:b/>
          <w:noProof/>
          <w:sz w:val="24"/>
        </w:rPr>
        <w:t>7</w:t>
      </w:r>
      <w:r>
        <w:rPr>
          <w:b/>
          <w:i/>
          <w:noProof/>
          <w:sz w:val="28"/>
        </w:rPr>
        <w:tab/>
      </w:r>
      <w:r>
        <w:rPr>
          <w:b/>
          <w:noProof/>
          <w:sz w:val="24"/>
        </w:rPr>
        <w:t>C4-2</w:t>
      </w:r>
      <w:r w:rsidR="00D86F58">
        <w:rPr>
          <w:b/>
          <w:noProof/>
          <w:sz w:val="24"/>
        </w:rPr>
        <w:t>50</w:t>
      </w:r>
      <w:r w:rsidR="008468A8">
        <w:rPr>
          <w:b/>
          <w:noProof/>
          <w:sz w:val="24"/>
        </w:rPr>
        <w:t>227</w:t>
      </w:r>
    </w:p>
    <w:p w14:paraId="50FCF1CE" w14:textId="7198C35F" w:rsidR="00134B39" w:rsidRDefault="00D86F58" w:rsidP="00134B39">
      <w:pPr>
        <w:pStyle w:val="CRCoverPage"/>
        <w:outlineLvl w:val="0"/>
        <w:rPr>
          <w:b/>
          <w:noProof/>
          <w:sz w:val="24"/>
        </w:rPr>
      </w:pPr>
      <w:r>
        <w:rPr>
          <w:b/>
          <w:noProof/>
          <w:sz w:val="24"/>
        </w:rPr>
        <w:t>Athens, GREECE</w:t>
      </w:r>
      <w:r w:rsidR="00134B39">
        <w:rPr>
          <w:b/>
          <w:noProof/>
          <w:sz w:val="24"/>
        </w:rPr>
        <w:t>; 1</w:t>
      </w:r>
      <w:r>
        <w:rPr>
          <w:b/>
          <w:noProof/>
          <w:sz w:val="24"/>
        </w:rPr>
        <w:t>7</w:t>
      </w:r>
      <w:r w:rsidR="00134B39">
        <w:rPr>
          <w:b/>
          <w:noProof/>
          <w:sz w:val="24"/>
          <w:vertAlign w:val="superscript"/>
        </w:rPr>
        <w:t>th</w:t>
      </w:r>
      <w:r w:rsidR="00134B39">
        <w:rPr>
          <w:b/>
          <w:noProof/>
          <w:sz w:val="24"/>
        </w:rPr>
        <w:t xml:space="preserve"> – </w:t>
      </w:r>
      <w:r w:rsidR="00135828">
        <w:rPr>
          <w:b/>
          <w:noProof/>
          <w:sz w:val="24"/>
        </w:rPr>
        <w:t>2</w:t>
      </w:r>
      <w:r>
        <w:rPr>
          <w:b/>
          <w:noProof/>
          <w:sz w:val="24"/>
        </w:rPr>
        <w:t>1</w:t>
      </w:r>
      <w:r>
        <w:rPr>
          <w:b/>
          <w:noProof/>
          <w:sz w:val="24"/>
          <w:vertAlign w:val="superscript"/>
        </w:rPr>
        <w:t>st</w:t>
      </w:r>
      <w:r w:rsidR="00134B39">
        <w:rPr>
          <w:b/>
          <w:noProof/>
          <w:sz w:val="24"/>
        </w:rPr>
        <w:t xml:space="preserve"> </w:t>
      </w:r>
      <w:r>
        <w:rPr>
          <w:b/>
          <w:noProof/>
          <w:sz w:val="24"/>
        </w:rPr>
        <w:t>February</w:t>
      </w:r>
      <w:r w:rsidR="00134B39">
        <w:rPr>
          <w:b/>
          <w:noProof/>
          <w:sz w:val="24"/>
        </w:rPr>
        <w:t xml:space="preserve"> 202</w:t>
      </w:r>
      <w:r>
        <w:rPr>
          <w:b/>
          <w:noProof/>
          <w:sz w:val="24"/>
        </w:rPr>
        <w:t>5</w:t>
      </w:r>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2E637F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60881">
        <w:rPr>
          <w:rFonts w:ascii="Arial" w:hAnsi="Arial" w:cs="Arial"/>
          <w:b/>
          <w:bCs/>
        </w:rPr>
        <w:t>H</w:t>
      </w:r>
      <w:r w:rsidR="00C60881">
        <w:rPr>
          <w:rFonts w:ascii="Arial" w:hAnsi="Arial" w:cs="Arial" w:hint="eastAsia"/>
          <w:b/>
          <w:bCs/>
          <w:lang w:eastAsia="zh-CN"/>
        </w:rPr>
        <w:t>uawei</w:t>
      </w:r>
    </w:p>
    <w:p w14:paraId="234CD7C4" w14:textId="46D2E52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A7CC3">
        <w:rPr>
          <w:rFonts w:ascii="Arial" w:hAnsi="Arial" w:cs="Arial"/>
          <w:b/>
          <w:bCs/>
        </w:rPr>
        <w:t xml:space="preserve">Discussion on </w:t>
      </w:r>
      <w:r w:rsidR="00BD0DC2">
        <w:rPr>
          <w:rFonts w:ascii="Arial" w:hAnsi="Arial" w:cs="Arial"/>
          <w:b/>
          <w:bCs/>
        </w:rPr>
        <w:t>Support of MoQ Transport in Core Network</w:t>
      </w:r>
    </w:p>
    <w:p w14:paraId="55FE3D7D" w14:textId="09B5D74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43663">
        <w:rPr>
          <w:rFonts w:ascii="Arial" w:hAnsi="Arial" w:cs="Arial"/>
          <w:b/>
          <w:bCs/>
        </w:rPr>
        <w:t>19.48</w:t>
      </w:r>
    </w:p>
    <w:p w14:paraId="1589C299" w14:textId="04FE4AC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F12F0D5" w14:textId="697BB6C1" w:rsidR="003C05E7" w:rsidRPr="00443663" w:rsidRDefault="00443663" w:rsidP="00443663">
      <w:pPr>
        <w:pStyle w:val="1"/>
      </w:pPr>
      <w:r>
        <w:t>1-</w:t>
      </w:r>
      <w:r>
        <w:tab/>
        <w:t>Analysis</w:t>
      </w:r>
    </w:p>
    <w:p w14:paraId="0E3A4CD3" w14:textId="251B27AC" w:rsidR="00443663" w:rsidRDefault="00BD0DC2" w:rsidP="00443663">
      <w:pPr>
        <w:pStyle w:val="aa"/>
        <w:shd w:val="clear" w:color="auto" w:fill="FFFFFF"/>
        <w:spacing w:before="0" w:beforeAutospacing="0" w:after="240" w:afterAutospacing="0"/>
        <w:rPr>
          <w:rFonts w:ascii="Arial" w:hAnsi="Arial" w:cs="Arial"/>
          <w:color w:val="222222"/>
          <w:sz w:val="21"/>
          <w:szCs w:val="21"/>
        </w:rPr>
      </w:pPr>
      <w:r>
        <w:rPr>
          <w:rFonts w:ascii="Arial" w:hAnsi="Arial" w:cs="Arial"/>
          <w:color w:val="222222"/>
          <w:sz w:val="21"/>
          <w:szCs w:val="21"/>
        </w:rPr>
        <w:t>1.</w:t>
      </w:r>
      <w:r w:rsidR="001A0FE8">
        <w:rPr>
          <w:rFonts w:ascii="Arial" w:hAnsi="Arial" w:cs="Arial"/>
          <w:color w:val="222222"/>
          <w:sz w:val="21"/>
          <w:szCs w:val="21"/>
        </w:rPr>
        <w:t>QUIC</w:t>
      </w:r>
      <w:r w:rsidR="00D54C2B">
        <w:rPr>
          <w:rFonts w:ascii="Arial" w:hAnsi="Arial" w:cs="Arial"/>
          <w:color w:val="222222"/>
          <w:sz w:val="21"/>
          <w:szCs w:val="21"/>
        </w:rPr>
        <w:t xml:space="preserve"> connection between UE and MoQ relay in UPF</w:t>
      </w:r>
    </w:p>
    <w:p w14:paraId="38477B78" w14:textId="7CB67770" w:rsidR="001A0FE8" w:rsidRDefault="007B778E" w:rsidP="00443663">
      <w:pPr>
        <w:pStyle w:val="aa"/>
        <w:shd w:val="clear" w:color="auto" w:fill="FFFFFF"/>
        <w:spacing w:before="0" w:beforeAutospacing="0" w:after="240" w:afterAutospacing="0"/>
        <w:rPr>
          <w:rFonts w:ascii="Times New Roman" w:hAnsi="Times New Roman" w:cs="Times New Roman"/>
          <w:color w:val="222222"/>
          <w:sz w:val="20"/>
          <w:szCs w:val="20"/>
        </w:rPr>
      </w:pPr>
      <w:r w:rsidRPr="007B778E">
        <w:rPr>
          <w:rFonts w:ascii="Times New Roman" w:hAnsi="Times New Roman" w:cs="Times New Roman"/>
          <w:color w:val="222222"/>
          <w:sz w:val="20"/>
          <w:szCs w:val="20"/>
        </w:rPr>
        <w:t>When a PSA UPF that supports MoQ relay functionality has been selected, encrypted Metadata associated with traffic can be transported between the UPF and the AS via Media over QUIC (MoQ)</w:t>
      </w:r>
      <w:r w:rsidR="00334DF7">
        <w:rPr>
          <w:rFonts w:ascii="Times New Roman" w:hAnsi="Times New Roman" w:cs="Times New Roman"/>
          <w:color w:val="222222"/>
          <w:sz w:val="20"/>
          <w:szCs w:val="20"/>
        </w:rPr>
        <w:t xml:space="preserve">, based on the definition in </w:t>
      </w:r>
      <w:r w:rsidR="00334DF7" w:rsidRPr="00334DF7">
        <w:rPr>
          <w:rFonts w:ascii="Times New Roman" w:hAnsi="Times New Roman" w:cs="Times New Roman"/>
          <w:color w:val="222222"/>
          <w:sz w:val="20"/>
          <w:szCs w:val="20"/>
        </w:rPr>
        <w:t xml:space="preserve">IETF: </w:t>
      </w:r>
      <w:hyperlink r:id="rId9" w:anchor="name-data-streams" w:history="1">
        <w:r w:rsidR="00334DF7" w:rsidRPr="00334DF7">
          <w:rPr>
            <w:rFonts w:ascii="Times New Roman" w:hAnsi="Times New Roman" w:cs="Times New Roman"/>
            <w:color w:val="222222"/>
            <w:sz w:val="20"/>
            <w:szCs w:val="20"/>
          </w:rPr>
          <w:t>"Media over QUIC Transport"</w:t>
        </w:r>
      </w:hyperlink>
      <w:r w:rsidR="00334DF7">
        <w:rPr>
          <w:rFonts w:ascii="Times New Roman" w:hAnsi="Times New Roman" w:cs="Times New Roman"/>
          <w:color w:val="222222"/>
          <w:sz w:val="20"/>
          <w:szCs w:val="20"/>
        </w:rPr>
        <w:t>, MoQ Relay is defined as below:</w:t>
      </w:r>
    </w:p>
    <w:p w14:paraId="01578051" w14:textId="77777777" w:rsidR="00334DF7" w:rsidRPr="00334DF7" w:rsidRDefault="00334DF7" w:rsidP="00334DF7">
      <w:pPr>
        <w:pStyle w:val="aa"/>
        <w:shd w:val="clear" w:color="auto" w:fill="FFFFFF"/>
        <w:spacing w:before="0" w:beforeAutospacing="0" w:after="240" w:afterAutospacing="0"/>
        <w:rPr>
          <w:rFonts w:ascii="Times New Roman" w:hAnsi="Times New Roman" w:cs="Times New Roman"/>
          <w:i/>
          <w:color w:val="222222"/>
          <w:sz w:val="20"/>
          <w:szCs w:val="20"/>
        </w:rPr>
      </w:pPr>
      <w:r w:rsidRPr="00334DF7">
        <w:rPr>
          <w:rFonts w:ascii="Times New Roman" w:hAnsi="Times New Roman" w:cs="Times New Roman"/>
          <w:i/>
          <w:color w:val="222222"/>
          <w:sz w:val="20"/>
          <w:szCs w:val="20"/>
        </w:rPr>
        <w:t>1.1.4.  Relays</w:t>
      </w:r>
    </w:p>
    <w:p w14:paraId="27C73E24" w14:textId="58B43C2B" w:rsidR="00334DF7" w:rsidRPr="00334DF7" w:rsidRDefault="00334DF7" w:rsidP="00334DF7">
      <w:pPr>
        <w:pStyle w:val="aa"/>
        <w:shd w:val="clear" w:color="auto" w:fill="FFFFFF"/>
        <w:spacing w:before="0" w:beforeAutospacing="0" w:after="240" w:afterAutospacing="0"/>
        <w:rPr>
          <w:rFonts w:ascii="Times New Roman" w:hAnsi="Times New Roman" w:cs="Times New Roman"/>
          <w:i/>
          <w:color w:val="222222"/>
          <w:sz w:val="20"/>
          <w:szCs w:val="20"/>
        </w:rPr>
      </w:pPr>
      <w:r w:rsidRPr="00334DF7">
        <w:rPr>
          <w:rFonts w:ascii="Times New Roman" w:hAnsi="Times New Roman" w:cs="Times New Roman"/>
          <w:i/>
          <w:color w:val="222222"/>
          <w:sz w:val="20"/>
          <w:szCs w:val="20"/>
        </w:rPr>
        <w:t xml:space="preserve">   </w:t>
      </w:r>
      <w:r w:rsidR="008C02D8">
        <w:rPr>
          <w:rFonts w:ascii="Times New Roman" w:hAnsi="Times New Roman" w:cs="Times New Roman"/>
          <w:i/>
          <w:color w:val="222222"/>
          <w:sz w:val="20"/>
          <w:szCs w:val="20"/>
        </w:rPr>
        <w:t xml:space="preserve"> </w:t>
      </w:r>
      <w:r w:rsidRPr="00334DF7">
        <w:rPr>
          <w:rFonts w:ascii="Times New Roman" w:hAnsi="Times New Roman" w:cs="Times New Roman"/>
          <w:i/>
          <w:color w:val="222222"/>
          <w:sz w:val="20"/>
          <w:szCs w:val="20"/>
        </w:rPr>
        <w:t>An integral feature of a protocol being successful is its ability to deliver media at scale.  Greatest scale is achieved when third-party networks, independent of both the publisher and subscriber, can be leveraged to relay the content. These relays must cache content for distribution efficiency while simultaneously routing content and deterministically responding to congestion in a multi-tenant network. A goal of MOQT is to treat relays as first-class citizens of the protocol and ensure that objects are structured such that information necessary for distribution is available to relays while the media content itself remains opaque and private.</w:t>
      </w:r>
    </w:p>
    <w:p w14:paraId="4665BBAB" w14:textId="27A32AA9" w:rsidR="00334DF7" w:rsidRDefault="00334DF7" w:rsidP="00443663">
      <w:pPr>
        <w:pStyle w:val="aa"/>
        <w:shd w:val="clear" w:color="auto" w:fill="FFFFFF"/>
        <w:spacing w:before="0" w:beforeAutospacing="0" w:after="240" w:afterAutospacing="0"/>
        <w:rPr>
          <w:rFonts w:ascii="Times New Roman" w:hAnsi="Times New Roman" w:cs="Times New Roman"/>
          <w:color w:val="222222"/>
          <w:sz w:val="20"/>
          <w:szCs w:val="20"/>
        </w:rPr>
      </w:pPr>
      <w:r>
        <w:rPr>
          <w:rFonts w:ascii="Times New Roman" w:hAnsi="Times New Roman" w:cs="Times New Roman"/>
          <w:color w:val="222222"/>
          <w:sz w:val="20"/>
          <w:szCs w:val="20"/>
        </w:rPr>
        <w:t xml:space="preserve">In this kind of deployment, UE will setup the QUIC connection to PSA UPF, so SMF shall return the MoQ relay address of the PSA UPF to </w:t>
      </w:r>
      <w:r w:rsidR="006D5C14">
        <w:rPr>
          <w:rFonts w:ascii="Times New Roman" w:hAnsi="Times New Roman" w:cs="Times New Roman" w:hint="eastAsia"/>
          <w:color w:val="222222"/>
          <w:sz w:val="20"/>
          <w:szCs w:val="20"/>
        </w:rPr>
        <w:t>help</w:t>
      </w:r>
      <w:r w:rsidR="006D5C14">
        <w:rPr>
          <w:rFonts w:ascii="Times New Roman" w:hAnsi="Times New Roman" w:cs="Times New Roman"/>
          <w:color w:val="222222"/>
          <w:sz w:val="20"/>
          <w:szCs w:val="20"/>
        </w:rPr>
        <w:t xml:space="preserve"> </w:t>
      </w:r>
      <w:r>
        <w:rPr>
          <w:rFonts w:ascii="Times New Roman" w:hAnsi="Times New Roman" w:cs="Times New Roman"/>
          <w:color w:val="222222"/>
          <w:sz w:val="20"/>
          <w:szCs w:val="20"/>
        </w:rPr>
        <w:t>the UE to setup the connection</w:t>
      </w:r>
      <w:r w:rsidR="006D5C14">
        <w:rPr>
          <w:rFonts w:ascii="Times New Roman" w:hAnsi="Times New Roman" w:cs="Times New Roman"/>
          <w:color w:val="222222"/>
          <w:sz w:val="20"/>
          <w:szCs w:val="20"/>
        </w:rPr>
        <w:t>, the following procedure applied:</w:t>
      </w:r>
    </w:p>
    <w:p w14:paraId="39A86A24" w14:textId="579C3348" w:rsidR="006D5C14" w:rsidRDefault="006D5C14" w:rsidP="00443663">
      <w:pPr>
        <w:pStyle w:val="aa"/>
        <w:shd w:val="clear" w:color="auto" w:fill="FFFFFF"/>
        <w:spacing w:before="0" w:beforeAutospacing="0" w:after="240" w:afterAutospacing="0"/>
        <w:rPr>
          <w:rFonts w:ascii="Times New Roman" w:hAnsi="Times New Roman" w:cs="Times New Roman"/>
          <w:color w:val="222222"/>
          <w:sz w:val="20"/>
          <w:szCs w:val="20"/>
        </w:rPr>
      </w:pPr>
      <w:r>
        <w:rPr>
          <w:rFonts w:ascii="Times New Roman" w:hAnsi="Times New Roman" w:cs="Times New Roman"/>
          <w:color w:val="222222"/>
          <w:sz w:val="20"/>
          <w:szCs w:val="20"/>
        </w:rPr>
        <w:t xml:space="preserve">Step1: UE triggers the PDU session connection, and includes DNN/S-NSSAI to the SMF, </w:t>
      </w:r>
      <w:r w:rsidRPr="006D5C14">
        <w:rPr>
          <w:rFonts w:ascii="Times New Roman" w:hAnsi="Times New Roman" w:cs="Times New Roman"/>
          <w:color w:val="222222"/>
          <w:sz w:val="20"/>
          <w:szCs w:val="20"/>
        </w:rPr>
        <w:t>A PSA UPF supporting the MoQ relay functionality can be selected by SMF with the consideration of the DNN and S-NSSAI provided by UE</w:t>
      </w:r>
      <w:r>
        <w:rPr>
          <w:rFonts w:ascii="Times New Roman" w:hAnsi="Times New Roman" w:cs="Times New Roman"/>
          <w:color w:val="222222"/>
          <w:sz w:val="20"/>
          <w:szCs w:val="20"/>
        </w:rPr>
        <w:t>;</w:t>
      </w:r>
    </w:p>
    <w:p w14:paraId="1E682800" w14:textId="14589948" w:rsidR="006D5C14" w:rsidRDefault="006D5C14" w:rsidP="00443663">
      <w:pPr>
        <w:pStyle w:val="aa"/>
        <w:shd w:val="clear" w:color="auto" w:fill="FFFFFF"/>
        <w:spacing w:before="0" w:beforeAutospacing="0" w:after="240" w:afterAutospacing="0"/>
        <w:rPr>
          <w:rFonts w:ascii="Times New Roman" w:hAnsi="Times New Roman" w:cs="Times New Roman"/>
          <w:color w:val="222222"/>
          <w:sz w:val="20"/>
          <w:szCs w:val="20"/>
        </w:rPr>
      </w:pPr>
      <w:r>
        <w:rPr>
          <w:rFonts w:ascii="Times New Roman" w:hAnsi="Times New Roman" w:cs="Times New Roman"/>
          <w:color w:val="222222"/>
          <w:sz w:val="20"/>
          <w:szCs w:val="20"/>
        </w:rPr>
        <w:t>Step2: UE requests the application server address by sending the DNS request to the EASDF, and EASDF reports the DNS message to the SMF;</w:t>
      </w:r>
    </w:p>
    <w:p w14:paraId="104FB727" w14:textId="1534ADA8" w:rsidR="006D5C14" w:rsidRDefault="006D5C14" w:rsidP="00443663">
      <w:pPr>
        <w:pStyle w:val="aa"/>
        <w:shd w:val="clear" w:color="auto" w:fill="FFFFFF"/>
        <w:spacing w:before="0" w:beforeAutospacing="0" w:after="240" w:afterAutospacing="0"/>
        <w:rPr>
          <w:rFonts w:ascii="Times New Roman" w:hAnsi="Times New Roman" w:cs="Times New Roman"/>
          <w:color w:val="222222"/>
          <w:sz w:val="20"/>
          <w:szCs w:val="20"/>
        </w:rPr>
      </w:pPr>
      <w:r w:rsidRPr="00734118">
        <w:rPr>
          <w:rFonts w:ascii="Times New Roman" w:hAnsi="Times New Roman" w:cs="Times New Roman"/>
          <w:color w:val="222222"/>
          <w:sz w:val="20"/>
          <w:szCs w:val="20"/>
        </w:rPr>
        <w:t>Step3: After receiving the FQDN in DNS message report from EASDF, SMF determines the FQDN is for MoQ and gets the address of MoQ relay. SMF can get the address of MoQ Relay during N4 session management procedure, SMF indicates the PSA UPF to provide MoQ relay address in N4 Session Establishment/Modification Request, or the SMF gets MoQ relay address related to the PSA UPF from the NRF.</w:t>
      </w:r>
    </w:p>
    <w:p w14:paraId="7A40D199" w14:textId="14F3B3FF" w:rsidR="006D5C14" w:rsidRDefault="006D5C14" w:rsidP="00443663">
      <w:pPr>
        <w:pStyle w:val="aa"/>
        <w:shd w:val="clear" w:color="auto" w:fill="FFFFFF"/>
        <w:spacing w:before="0" w:beforeAutospacing="0" w:after="240" w:afterAutospacing="0"/>
        <w:rPr>
          <w:rFonts w:ascii="Times New Roman" w:hAnsi="Times New Roman" w:cs="Times New Roman"/>
          <w:color w:val="222222"/>
          <w:sz w:val="20"/>
          <w:szCs w:val="20"/>
        </w:rPr>
      </w:pPr>
      <w:r>
        <w:rPr>
          <w:rFonts w:ascii="Times New Roman" w:hAnsi="Times New Roman" w:cs="Times New Roman"/>
          <w:color w:val="222222"/>
          <w:sz w:val="20"/>
          <w:szCs w:val="20"/>
        </w:rPr>
        <w:t>Step4:</w:t>
      </w:r>
      <w:r w:rsidRPr="006D5C14">
        <w:rPr>
          <w:rFonts w:ascii="Times New Roman" w:hAnsi="Times New Roman" w:cs="Times New Roman"/>
          <w:color w:val="222222"/>
          <w:sz w:val="20"/>
          <w:szCs w:val="20"/>
        </w:rPr>
        <w:t xml:space="preserve"> SMF provides DNS message handling rule with the address of MoQ relay to instruct EASDF to return the address of MoQ Relay in PSA UPF by setting the Forwarding Action as Respond directly to the DNS request</w:t>
      </w:r>
      <w:r>
        <w:rPr>
          <w:rFonts w:ascii="Times New Roman" w:hAnsi="Times New Roman" w:cs="Times New Roman"/>
          <w:color w:val="222222"/>
          <w:sz w:val="20"/>
          <w:szCs w:val="20"/>
        </w:rPr>
        <w:t>.</w:t>
      </w:r>
    </w:p>
    <w:p w14:paraId="644CE8CB" w14:textId="5D69170E" w:rsidR="006D5C14" w:rsidRDefault="006D5C14" w:rsidP="00443663">
      <w:pPr>
        <w:pStyle w:val="aa"/>
        <w:shd w:val="clear" w:color="auto" w:fill="FFFFFF"/>
        <w:spacing w:before="0" w:beforeAutospacing="0" w:after="240" w:afterAutospacing="0"/>
        <w:rPr>
          <w:rFonts w:ascii="Times New Roman" w:hAnsi="Times New Roman" w:cs="Times New Roman"/>
          <w:color w:val="222222"/>
          <w:sz w:val="20"/>
          <w:szCs w:val="20"/>
        </w:rPr>
      </w:pPr>
      <w:r>
        <w:rPr>
          <w:rFonts w:ascii="Times New Roman" w:hAnsi="Times New Roman" w:cs="Times New Roman"/>
          <w:color w:val="222222"/>
          <w:sz w:val="20"/>
          <w:szCs w:val="20"/>
        </w:rPr>
        <w:t>Step5: UE receives the MoQ relay address in DNS response, and setups the QUIC connection with MoQ relay.</w:t>
      </w:r>
    </w:p>
    <w:p w14:paraId="23A6526C" w14:textId="23AE1CF9" w:rsidR="006D5C14" w:rsidRDefault="006D5C14" w:rsidP="00443663">
      <w:pPr>
        <w:pStyle w:val="aa"/>
        <w:shd w:val="clear" w:color="auto" w:fill="FFFFFF"/>
        <w:spacing w:before="0" w:beforeAutospacing="0" w:after="240" w:afterAutospacing="0"/>
        <w:rPr>
          <w:rFonts w:ascii="Times New Roman" w:hAnsi="Times New Roman" w:cs="Times New Roman"/>
          <w:color w:val="222222"/>
          <w:sz w:val="20"/>
          <w:szCs w:val="20"/>
        </w:rPr>
      </w:pPr>
      <w:r>
        <w:rPr>
          <w:rFonts w:ascii="Times New Roman" w:hAnsi="Times New Roman" w:cs="Times New Roman"/>
          <w:color w:val="222222"/>
          <w:sz w:val="20"/>
          <w:szCs w:val="20"/>
        </w:rPr>
        <w:t>Step6: Media data will be sent from application to PSA UPF, and from PSA UPF to UE.</w:t>
      </w:r>
    </w:p>
    <w:p w14:paraId="348858DB" w14:textId="34D535EB" w:rsidR="006D5C14" w:rsidRDefault="006D5C14" w:rsidP="006D5C14">
      <w:pPr>
        <w:spacing w:after="120"/>
        <w:rPr>
          <w:b/>
          <w:bCs/>
        </w:rPr>
      </w:pPr>
      <w:r w:rsidRPr="002D2FD6">
        <w:rPr>
          <w:b/>
          <w:bCs/>
        </w:rPr>
        <w:t xml:space="preserve">Observation </w:t>
      </w:r>
      <w:r>
        <w:rPr>
          <w:b/>
          <w:bCs/>
        </w:rPr>
        <w:t>1</w:t>
      </w:r>
      <w:r w:rsidRPr="002D2FD6">
        <w:rPr>
          <w:b/>
          <w:bCs/>
        </w:rPr>
        <w:t xml:space="preserve">: </w:t>
      </w:r>
      <w:r w:rsidRPr="00621E7A">
        <w:rPr>
          <w:b/>
          <w:bCs/>
        </w:rPr>
        <w:t xml:space="preserve">When the UPF acts as a MoQ relay, the address of the MoQ relay </w:t>
      </w:r>
      <w:r>
        <w:rPr>
          <w:b/>
          <w:bCs/>
        </w:rPr>
        <w:t xml:space="preserve">shall </w:t>
      </w:r>
      <w:r w:rsidRPr="00621E7A">
        <w:rPr>
          <w:b/>
          <w:bCs/>
        </w:rPr>
        <w:t>sent to the UE through the EASDF</w:t>
      </w:r>
      <w:r>
        <w:rPr>
          <w:b/>
          <w:bCs/>
        </w:rPr>
        <w:t>.</w:t>
      </w:r>
    </w:p>
    <w:p w14:paraId="4D5D4F18" w14:textId="5DF7CDE2" w:rsidR="0079154F" w:rsidRDefault="0079154F" w:rsidP="0079154F">
      <w:pPr>
        <w:spacing w:before="120" w:after="120"/>
      </w:pPr>
      <w:r>
        <w:rPr>
          <w:lang w:eastAsia="en-GB"/>
        </w:rPr>
        <w:t xml:space="preserve">According to </w:t>
      </w:r>
      <w:r w:rsidR="005F5068">
        <w:t>3GPP TS 23.501[1]</w:t>
      </w:r>
      <w:r>
        <w:rPr>
          <w:lang w:eastAsia="en-GB"/>
        </w:rPr>
        <w:t xml:space="preserve">, </w:t>
      </w:r>
      <w:r w:rsidRPr="006D4070">
        <w:t>A PSA UPF supporting the MoQ relay functionality can be selected by SMF with the consideration of the DNN and S-NSSAI provided by UE.</w:t>
      </w:r>
      <w:r w:rsidRPr="002D03D6">
        <w:t xml:space="preserve"> </w:t>
      </w:r>
    </w:p>
    <w:p w14:paraId="0FB01E38" w14:textId="02EAA290" w:rsidR="0079154F" w:rsidRDefault="0079154F" w:rsidP="0079154F">
      <w:pPr>
        <w:spacing w:before="120" w:after="120"/>
      </w:pPr>
      <w:r>
        <w:t>The SMF may get the address of MoQ Relay during N4 session management procedure as defined in the clause 4.4.1 of TS 23.502 [</w:t>
      </w:r>
      <w:r w:rsidR="005F5068">
        <w:t>2</w:t>
      </w:r>
      <w:r>
        <w:t>]. The SMF indicates the PSA UPF to provide MoQ relay address in N4 Session Establishment/Modification Request and the PSA UPF returns MoQ relay address in N4 Session Establishment/Modification Response.</w:t>
      </w:r>
    </w:p>
    <w:p w14:paraId="7283FD4B" w14:textId="752D8655" w:rsidR="0079154F" w:rsidRDefault="0079154F" w:rsidP="0079154F">
      <w:pPr>
        <w:spacing w:before="120" w:after="120"/>
      </w:pPr>
      <w:r>
        <w:lastRenderedPageBreak/>
        <w:t>In the case the EASDF based DNS procedure as described in clause 6.2.3.2.2 of TS 23.548 [</w:t>
      </w:r>
      <w:r w:rsidR="005F5068">
        <w:t>3</w:t>
      </w:r>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w:t>
      </w:r>
      <w:r w:rsidR="005F5068">
        <w:t>3</w:t>
      </w:r>
      <w:r>
        <w:t xml:space="preserve">]. </w:t>
      </w:r>
    </w:p>
    <w:p w14:paraId="4C9913DE" w14:textId="77777777" w:rsidR="0079154F" w:rsidRPr="008C02D8" w:rsidRDefault="0079154F" w:rsidP="0079154F">
      <w:pPr>
        <w:overflowPunct w:val="0"/>
        <w:autoSpaceDE w:val="0"/>
        <w:autoSpaceDN w:val="0"/>
        <w:adjustRightInd w:val="0"/>
        <w:spacing w:after="180"/>
        <w:ind w:left="568" w:hanging="284"/>
        <w:rPr>
          <w:i/>
        </w:rPr>
      </w:pPr>
      <w:r w:rsidRPr="008C02D8">
        <w:rPr>
          <w:i/>
        </w:rPr>
        <w:t>-</w:t>
      </w:r>
      <w:r w:rsidRPr="008C02D8">
        <w:rPr>
          <w:i/>
        </w:rPr>
        <w:tab/>
        <w:t>NOTE X0: It is assumed an application client can send a DNS query to resolve FQDN.</w:t>
      </w:r>
    </w:p>
    <w:p w14:paraId="279BFB99" w14:textId="2F30A447" w:rsidR="0079154F" w:rsidRPr="008C02D8" w:rsidRDefault="0079154F" w:rsidP="0079154F">
      <w:pPr>
        <w:overflowPunct w:val="0"/>
        <w:autoSpaceDE w:val="0"/>
        <w:autoSpaceDN w:val="0"/>
        <w:adjustRightInd w:val="0"/>
        <w:spacing w:after="180"/>
        <w:ind w:left="568" w:hanging="284"/>
        <w:rPr>
          <w:i/>
        </w:rPr>
      </w:pPr>
      <w:r w:rsidRPr="008C02D8">
        <w:rPr>
          <w:i/>
        </w:rPr>
        <w:t>-</w:t>
      </w:r>
      <w:r w:rsidRPr="008C02D8">
        <w:rPr>
          <w:i/>
        </w:rPr>
        <w:tab/>
        <w:t>NOTE X1: 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781B080A" w14:textId="40105614" w:rsidR="0079154F" w:rsidRDefault="0079154F" w:rsidP="0079154F">
      <w:pPr>
        <w:overflowPunct w:val="0"/>
        <w:autoSpaceDE w:val="0"/>
        <w:autoSpaceDN w:val="0"/>
        <w:adjustRightInd w:val="0"/>
        <w:spacing w:after="180"/>
        <w:rPr>
          <w:i/>
          <w:iCs/>
          <w:color w:val="C45911"/>
          <w:lang w:eastAsia="en-GB"/>
        </w:rPr>
      </w:pPr>
    </w:p>
    <w:p w14:paraId="51AAC9CD" w14:textId="141D46C3" w:rsidR="00D54C2B" w:rsidRDefault="00D54C2B" w:rsidP="00443663">
      <w:pPr>
        <w:pStyle w:val="aa"/>
        <w:shd w:val="clear" w:color="auto" w:fill="FFFFFF"/>
        <w:spacing w:before="0" w:beforeAutospacing="0" w:after="240" w:afterAutospacing="0"/>
        <w:rPr>
          <w:rFonts w:ascii="Arial" w:hAnsi="Arial" w:cs="Arial"/>
          <w:color w:val="222222"/>
          <w:sz w:val="21"/>
          <w:szCs w:val="21"/>
        </w:rPr>
      </w:pPr>
      <w:r w:rsidRPr="00D54C2B">
        <w:rPr>
          <w:rFonts w:ascii="Arial" w:hAnsi="Arial" w:cs="Arial"/>
          <w:color w:val="222222"/>
          <w:sz w:val="21"/>
          <w:szCs w:val="21"/>
        </w:rPr>
        <w:t>2. PDU Set information</w:t>
      </w:r>
      <w:r>
        <w:rPr>
          <w:rFonts w:ascii="Arial" w:hAnsi="Arial" w:cs="Arial"/>
          <w:color w:val="222222"/>
          <w:sz w:val="21"/>
          <w:szCs w:val="21"/>
        </w:rPr>
        <w:t xml:space="preserve"> identified by the UPF</w:t>
      </w:r>
    </w:p>
    <w:p w14:paraId="743217B5" w14:textId="510A725D" w:rsidR="007A7780" w:rsidRDefault="007A7780" w:rsidP="007A7780">
      <w:pPr>
        <w:pStyle w:val="aa"/>
        <w:shd w:val="clear" w:color="auto" w:fill="FFFFFF"/>
        <w:spacing w:before="0" w:beforeAutospacing="0" w:after="240" w:afterAutospacing="0"/>
        <w:rPr>
          <w:rFonts w:ascii="Times New Roman" w:hAnsi="Times New Roman" w:cs="Times New Roman"/>
          <w:color w:val="222222"/>
          <w:sz w:val="20"/>
          <w:szCs w:val="20"/>
        </w:rPr>
      </w:pPr>
      <w:r w:rsidRPr="007A7780">
        <w:rPr>
          <w:rFonts w:ascii="Times New Roman" w:hAnsi="Times New Roman" w:cs="Times New Roman"/>
          <w:color w:val="222222"/>
          <w:sz w:val="20"/>
          <w:szCs w:val="20"/>
        </w:rPr>
        <w:t>The AF provided Protocol Description indicating Media over QUIC Transport can be used in determining the PCC Rule by the PCF. Based on the PCC rule, the SMF instructs the PSA UPF to perform PDU Set Information identification</w:t>
      </w:r>
      <w:r>
        <w:rPr>
          <w:rFonts w:ascii="Times New Roman" w:hAnsi="Times New Roman" w:cs="Times New Roman"/>
          <w:color w:val="222222"/>
          <w:sz w:val="20"/>
          <w:szCs w:val="20"/>
        </w:rPr>
        <w:t xml:space="preserve"> by including the </w:t>
      </w:r>
      <w:r w:rsidRPr="007A7780">
        <w:rPr>
          <w:rFonts w:ascii="Times New Roman" w:hAnsi="Times New Roman" w:cs="Times New Roman"/>
          <w:color w:val="222222"/>
          <w:sz w:val="20"/>
          <w:szCs w:val="20"/>
        </w:rPr>
        <w:t>Protocol Description</w:t>
      </w:r>
      <w:r>
        <w:rPr>
          <w:rFonts w:ascii="Times New Roman" w:hAnsi="Times New Roman" w:cs="Times New Roman"/>
          <w:color w:val="222222"/>
          <w:sz w:val="20"/>
          <w:szCs w:val="20"/>
        </w:rPr>
        <w:t xml:space="preserve"> with </w:t>
      </w:r>
      <w:proofErr w:type="spellStart"/>
      <w:r w:rsidR="006D0901" w:rsidRPr="006D0901">
        <w:rPr>
          <w:rFonts w:ascii="Times New Roman" w:hAnsi="Times New Roman" w:cs="Times New Roman"/>
          <w:color w:val="222222"/>
          <w:sz w:val="20"/>
          <w:szCs w:val="20"/>
        </w:rPr>
        <w:t>MediaTransportProto</w:t>
      </w:r>
      <w:proofErr w:type="spellEnd"/>
      <w:r w:rsidR="006D0901">
        <w:rPr>
          <w:rFonts w:ascii="Times New Roman" w:hAnsi="Times New Roman" w:cs="Times New Roman"/>
          <w:color w:val="222222"/>
          <w:sz w:val="20"/>
          <w:szCs w:val="20"/>
        </w:rPr>
        <w:t xml:space="preserve"> sets to MOQT</w:t>
      </w:r>
      <w:r w:rsidRPr="007A7780">
        <w:rPr>
          <w:rFonts w:ascii="Times New Roman" w:hAnsi="Times New Roman" w:cs="Times New Roman"/>
          <w:color w:val="222222"/>
          <w:sz w:val="20"/>
          <w:szCs w:val="20"/>
        </w:rPr>
        <w:t>.</w:t>
      </w:r>
    </w:p>
    <w:p w14:paraId="42307165" w14:textId="585E7EE0" w:rsidR="006D5C14" w:rsidRDefault="007A7780" w:rsidP="007A7780">
      <w:pPr>
        <w:pStyle w:val="aa"/>
        <w:shd w:val="clear" w:color="auto" w:fill="FFFFFF"/>
        <w:spacing w:before="0" w:beforeAutospacing="0" w:after="240" w:afterAutospacing="0"/>
        <w:rPr>
          <w:rFonts w:ascii="Times New Roman" w:hAnsi="Times New Roman" w:cs="Times New Roman"/>
          <w:color w:val="222222"/>
          <w:sz w:val="20"/>
          <w:szCs w:val="20"/>
        </w:rPr>
      </w:pPr>
      <w:r w:rsidRPr="007A7780">
        <w:rPr>
          <w:rFonts w:ascii="Times New Roman" w:hAnsi="Times New Roman" w:cs="Times New Roman"/>
          <w:color w:val="222222"/>
          <w:sz w:val="20"/>
          <w:szCs w:val="20"/>
        </w:rPr>
        <w:t>For the downlink service data flow using MoQ Transport, the PSA UPF can identify the PDU Set Information from the MoQ Metadata and provide the available PDU Set Information to the RAN in the GTP-U header.</w:t>
      </w:r>
      <w:r w:rsidR="00EB77E6">
        <w:rPr>
          <w:rFonts w:ascii="Times New Roman" w:hAnsi="Times New Roman" w:cs="Times New Roman"/>
          <w:color w:val="222222"/>
          <w:sz w:val="20"/>
          <w:szCs w:val="20"/>
        </w:rPr>
        <w:t xml:space="preserve"> The mapping between information in MoQ Metadata and the PDU set information is described below:</w:t>
      </w:r>
    </w:p>
    <w:p w14:paraId="72529424" w14:textId="77777777" w:rsidR="00EB77E6" w:rsidRDefault="00EB77E6" w:rsidP="00EB77E6">
      <w:pPr>
        <w:rPr>
          <w:rFonts w:ascii="Arial" w:hAnsi="Arial" w:cs="Arial"/>
          <w:b/>
          <w:bCs/>
        </w:rPr>
      </w:pPr>
    </w:p>
    <w:tbl>
      <w:tblPr>
        <w:tblStyle w:val="a9"/>
        <w:tblW w:w="0" w:type="auto"/>
        <w:tblLook w:val="04A0" w:firstRow="1" w:lastRow="0" w:firstColumn="1" w:lastColumn="0" w:noHBand="0" w:noVBand="1"/>
      </w:tblPr>
      <w:tblGrid>
        <w:gridCol w:w="4928"/>
        <w:gridCol w:w="4927"/>
      </w:tblGrid>
      <w:tr w:rsidR="00EB77E6" w14:paraId="73A75851" w14:textId="77777777" w:rsidTr="00EB77E6">
        <w:tc>
          <w:tcPr>
            <w:tcW w:w="4928" w:type="dxa"/>
          </w:tcPr>
          <w:p w14:paraId="650A2BE7" w14:textId="5C20F285" w:rsidR="00EB77E6" w:rsidRPr="00DA2207" w:rsidRDefault="00EB77E6" w:rsidP="00F441C5">
            <w:pPr>
              <w:rPr>
                <w:rFonts w:ascii="Arial" w:hAnsi="Arial" w:cs="Arial"/>
                <w:b/>
                <w:bCs/>
                <w:lang w:eastAsia="zh-CN"/>
              </w:rPr>
            </w:pPr>
            <w:r w:rsidRPr="00DA2207">
              <w:rPr>
                <w:rFonts w:ascii="Arial" w:hAnsi="Arial" w:cs="Arial"/>
                <w:b/>
                <w:bCs/>
                <w:lang w:eastAsia="zh-CN"/>
              </w:rPr>
              <w:t>Meta Data</w:t>
            </w:r>
          </w:p>
        </w:tc>
        <w:tc>
          <w:tcPr>
            <w:tcW w:w="4927" w:type="dxa"/>
          </w:tcPr>
          <w:p w14:paraId="52431C73" w14:textId="204FAE52" w:rsidR="00EB77E6" w:rsidRPr="00DA2207" w:rsidRDefault="00EB77E6" w:rsidP="00F441C5">
            <w:pPr>
              <w:rPr>
                <w:b/>
                <w:bCs/>
              </w:rPr>
            </w:pPr>
            <w:r w:rsidRPr="00DA2207">
              <w:rPr>
                <w:b/>
              </w:rPr>
              <w:t>PDU Set Information</w:t>
            </w:r>
          </w:p>
        </w:tc>
      </w:tr>
      <w:tr w:rsidR="00EB77E6" w14:paraId="2C25A0F1" w14:textId="77777777" w:rsidTr="00EB77E6">
        <w:tc>
          <w:tcPr>
            <w:tcW w:w="4928" w:type="dxa"/>
          </w:tcPr>
          <w:p w14:paraId="1C4F7429" w14:textId="17CC691A" w:rsidR="00EB77E6" w:rsidRPr="00DA2207" w:rsidRDefault="00EB77E6" w:rsidP="00EB77E6">
            <w:pPr>
              <w:rPr>
                <w:rFonts w:ascii="Arial" w:hAnsi="Arial" w:cs="Arial"/>
                <w:bCs/>
                <w:lang w:eastAsia="zh-CN"/>
              </w:rPr>
            </w:pPr>
            <w:r w:rsidRPr="00DA2207">
              <w:rPr>
                <w:rFonts w:ascii="Arial" w:hAnsi="Arial" w:cs="Arial" w:hint="eastAsia"/>
                <w:bCs/>
                <w:lang w:eastAsia="zh-CN"/>
              </w:rPr>
              <w:t>Group</w:t>
            </w:r>
            <w:r w:rsidRPr="00DA2207">
              <w:rPr>
                <w:rFonts w:ascii="Arial" w:hAnsi="Arial" w:cs="Arial"/>
                <w:bCs/>
                <w:lang w:eastAsia="zh-CN"/>
              </w:rPr>
              <w:t xml:space="preserve"> ID + O</w:t>
            </w:r>
            <w:r w:rsidRPr="00DA2207">
              <w:rPr>
                <w:rFonts w:ascii="Arial" w:hAnsi="Arial" w:cs="Arial" w:hint="eastAsia"/>
                <w:bCs/>
                <w:lang w:eastAsia="zh-CN"/>
              </w:rPr>
              <w:t>bject</w:t>
            </w:r>
            <w:r w:rsidRPr="00DA2207">
              <w:rPr>
                <w:rFonts w:ascii="Arial" w:hAnsi="Arial" w:cs="Arial"/>
                <w:bCs/>
                <w:lang w:eastAsia="zh-CN"/>
              </w:rPr>
              <w:t xml:space="preserve"> ID</w:t>
            </w:r>
          </w:p>
        </w:tc>
        <w:tc>
          <w:tcPr>
            <w:tcW w:w="4927" w:type="dxa"/>
          </w:tcPr>
          <w:p w14:paraId="2F27FD1A" w14:textId="17E8CC29" w:rsidR="00EB77E6" w:rsidRPr="0098446E" w:rsidRDefault="00EB77E6" w:rsidP="00EB77E6">
            <w:pPr>
              <w:rPr>
                <w:color w:val="222222"/>
                <w:sz w:val="21"/>
                <w:szCs w:val="21"/>
              </w:rPr>
            </w:pPr>
            <w:r w:rsidRPr="0098446E">
              <w:rPr>
                <w:color w:val="222222"/>
                <w:sz w:val="21"/>
                <w:szCs w:val="21"/>
              </w:rPr>
              <w:t xml:space="preserve">The </w:t>
            </w:r>
            <w:r w:rsidRPr="0098446E">
              <w:rPr>
                <w:rStyle w:val="ac"/>
                <w:i w:val="0"/>
                <w:color w:val="222222"/>
                <w:sz w:val="21"/>
                <w:szCs w:val="21"/>
              </w:rPr>
              <w:t xml:space="preserve">PDU set sequence number </w:t>
            </w:r>
            <w:r w:rsidRPr="0098446E">
              <w:rPr>
                <w:color w:val="222222"/>
                <w:sz w:val="21"/>
                <w:szCs w:val="21"/>
              </w:rPr>
              <w:t>(</w:t>
            </w:r>
            <w:r w:rsidRPr="0098446E">
              <w:rPr>
                <w:rStyle w:val="ad"/>
                <w:color w:val="222222"/>
                <w:sz w:val="21"/>
                <w:szCs w:val="21"/>
              </w:rPr>
              <w:t>PSSN</w:t>
            </w:r>
            <w:r w:rsidRPr="0098446E">
              <w:rPr>
                <w:rStyle w:val="ad"/>
                <w:color w:val="222222"/>
                <w:sz w:val="21"/>
                <w:szCs w:val="21"/>
                <w:lang w:eastAsia="zh-CN"/>
              </w:rPr>
              <w:t>)</w:t>
            </w:r>
          </w:p>
        </w:tc>
      </w:tr>
      <w:tr w:rsidR="00EB77E6" w14:paraId="2844C112" w14:textId="77777777" w:rsidTr="00EB77E6">
        <w:tc>
          <w:tcPr>
            <w:tcW w:w="4928" w:type="dxa"/>
          </w:tcPr>
          <w:p w14:paraId="75F414E2" w14:textId="6B3F221D" w:rsidR="00EB77E6" w:rsidRPr="00DA2207" w:rsidRDefault="00EB77E6" w:rsidP="00EB77E6">
            <w:pPr>
              <w:rPr>
                <w:rFonts w:ascii="Arial" w:hAnsi="Arial" w:cs="Arial"/>
                <w:bCs/>
                <w:lang w:eastAsia="zh-CN"/>
              </w:rPr>
            </w:pPr>
            <w:r w:rsidRPr="00DA2207">
              <w:rPr>
                <w:rFonts w:ascii="Arial" w:hAnsi="Arial" w:cs="Arial" w:hint="eastAsia"/>
                <w:bCs/>
                <w:lang w:eastAsia="zh-CN"/>
              </w:rPr>
              <w:t>Publisher</w:t>
            </w:r>
            <w:r w:rsidRPr="00DA2207">
              <w:rPr>
                <w:rFonts w:ascii="Arial" w:hAnsi="Arial" w:cs="Arial"/>
                <w:bCs/>
                <w:lang w:eastAsia="zh-CN"/>
              </w:rPr>
              <w:t xml:space="preserve"> P</w:t>
            </w:r>
            <w:r w:rsidRPr="00DA2207">
              <w:rPr>
                <w:rFonts w:ascii="Arial" w:hAnsi="Arial" w:cs="Arial" w:hint="eastAsia"/>
                <w:bCs/>
                <w:lang w:eastAsia="zh-CN"/>
              </w:rPr>
              <w:t>riority</w:t>
            </w:r>
          </w:p>
        </w:tc>
        <w:tc>
          <w:tcPr>
            <w:tcW w:w="4927" w:type="dxa"/>
          </w:tcPr>
          <w:p w14:paraId="2FD20CE0" w14:textId="77777777" w:rsidR="00EB77E6" w:rsidRPr="0098446E" w:rsidRDefault="00EB77E6" w:rsidP="00EB77E6">
            <w:pPr>
              <w:rPr>
                <w:b/>
                <w:bCs/>
              </w:rPr>
            </w:pPr>
            <w:r w:rsidRPr="0098446E">
              <w:rPr>
                <w:color w:val="222222"/>
                <w:sz w:val="21"/>
                <w:szCs w:val="21"/>
              </w:rPr>
              <w:t xml:space="preserve">The </w:t>
            </w:r>
            <w:r w:rsidRPr="0098446E">
              <w:rPr>
                <w:rStyle w:val="ac"/>
                <w:i w:val="0"/>
                <w:color w:val="222222"/>
                <w:sz w:val="21"/>
                <w:szCs w:val="21"/>
              </w:rPr>
              <w:t>PDU Set Importance</w:t>
            </w:r>
            <w:r w:rsidRPr="0098446E">
              <w:rPr>
                <w:rStyle w:val="ac"/>
                <w:color w:val="222222"/>
                <w:sz w:val="21"/>
                <w:szCs w:val="21"/>
              </w:rPr>
              <w:t xml:space="preserve"> </w:t>
            </w:r>
            <w:r w:rsidRPr="0098446E">
              <w:rPr>
                <w:color w:val="222222"/>
                <w:sz w:val="21"/>
                <w:szCs w:val="21"/>
              </w:rPr>
              <w:t>(</w:t>
            </w:r>
            <w:r w:rsidRPr="0098446E">
              <w:rPr>
                <w:rStyle w:val="ad"/>
                <w:color w:val="222222"/>
                <w:sz w:val="21"/>
                <w:szCs w:val="21"/>
              </w:rPr>
              <w:t>PSI</w:t>
            </w:r>
            <w:r w:rsidRPr="0098446E">
              <w:rPr>
                <w:rStyle w:val="ad"/>
                <w:color w:val="222222"/>
                <w:sz w:val="21"/>
                <w:szCs w:val="21"/>
                <w:lang w:eastAsia="zh-CN"/>
              </w:rPr>
              <w:t>)</w:t>
            </w:r>
          </w:p>
        </w:tc>
      </w:tr>
      <w:tr w:rsidR="00EB77E6" w14:paraId="130B6720" w14:textId="77777777" w:rsidTr="00E763A5">
        <w:trPr>
          <w:trHeight w:val="266"/>
        </w:trPr>
        <w:tc>
          <w:tcPr>
            <w:tcW w:w="4928" w:type="dxa"/>
          </w:tcPr>
          <w:p w14:paraId="70AFA541" w14:textId="5F6EC5EE" w:rsidR="00EB77E6" w:rsidRPr="00DA2207" w:rsidRDefault="00EB77E6" w:rsidP="00EB77E6">
            <w:pPr>
              <w:rPr>
                <w:rFonts w:ascii="Arial" w:hAnsi="Arial" w:cs="Arial"/>
                <w:bCs/>
                <w:lang w:eastAsia="zh-CN"/>
              </w:rPr>
            </w:pPr>
            <w:r w:rsidRPr="00DA2207">
              <w:rPr>
                <w:rFonts w:ascii="Arial" w:hAnsi="Arial" w:cs="Arial" w:hint="eastAsia"/>
                <w:bCs/>
                <w:lang w:eastAsia="zh-CN"/>
              </w:rPr>
              <w:t>O</w:t>
            </w:r>
            <w:r w:rsidRPr="00DA2207">
              <w:rPr>
                <w:rFonts w:ascii="Arial" w:hAnsi="Arial" w:cs="Arial"/>
                <w:bCs/>
                <w:lang w:eastAsia="zh-CN"/>
              </w:rPr>
              <w:t>bject Payload Length</w:t>
            </w:r>
          </w:p>
        </w:tc>
        <w:tc>
          <w:tcPr>
            <w:tcW w:w="4927" w:type="dxa"/>
          </w:tcPr>
          <w:p w14:paraId="1D63A707" w14:textId="77777777" w:rsidR="00EB77E6" w:rsidRPr="0098446E" w:rsidRDefault="00EB77E6" w:rsidP="00EB77E6">
            <w:pPr>
              <w:rPr>
                <w:b/>
                <w:bCs/>
              </w:rPr>
            </w:pPr>
            <w:r w:rsidRPr="0098446E">
              <w:rPr>
                <w:color w:val="222222"/>
                <w:sz w:val="21"/>
                <w:szCs w:val="21"/>
                <w:shd w:val="clear" w:color="auto" w:fill="FFFFFF"/>
              </w:rPr>
              <w:t>The</w:t>
            </w:r>
            <w:r w:rsidRPr="0098446E">
              <w:rPr>
                <w:i/>
                <w:color w:val="222222"/>
                <w:sz w:val="21"/>
                <w:szCs w:val="21"/>
                <w:shd w:val="clear" w:color="auto" w:fill="FFFFFF"/>
              </w:rPr>
              <w:t xml:space="preserve"> </w:t>
            </w:r>
            <w:r w:rsidRPr="0098446E">
              <w:rPr>
                <w:rStyle w:val="ac"/>
                <w:i w:val="0"/>
                <w:color w:val="222222"/>
                <w:sz w:val="21"/>
                <w:szCs w:val="21"/>
                <w:shd w:val="clear" w:color="auto" w:fill="FFFFFF"/>
              </w:rPr>
              <w:t xml:space="preserve">end PDU of PDU set </w:t>
            </w:r>
            <w:r w:rsidRPr="0098446E">
              <w:rPr>
                <w:i/>
                <w:color w:val="222222"/>
                <w:sz w:val="21"/>
                <w:szCs w:val="21"/>
                <w:shd w:val="clear" w:color="auto" w:fill="FFFFFF"/>
              </w:rPr>
              <w:t>(</w:t>
            </w:r>
            <w:r w:rsidRPr="0098446E">
              <w:rPr>
                <w:rStyle w:val="ad"/>
                <w:color w:val="222222"/>
                <w:sz w:val="21"/>
                <w:szCs w:val="21"/>
                <w:shd w:val="clear" w:color="auto" w:fill="FFFFFF"/>
              </w:rPr>
              <w:t>E)</w:t>
            </w:r>
          </w:p>
        </w:tc>
      </w:tr>
      <w:tr w:rsidR="00EB77E6" w14:paraId="644683B3" w14:textId="77777777" w:rsidTr="00EB77E6">
        <w:tc>
          <w:tcPr>
            <w:tcW w:w="4928" w:type="dxa"/>
          </w:tcPr>
          <w:p w14:paraId="4729F198" w14:textId="7AA6A5D8" w:rsidR="00EB77E6" w:rsidRPr="00DA2207" w:rsidRDefault="00E763A5" w:rsidP="00EB77E6">
            <w:pPr>
              <w:rPr>
                <w:rFonts w:ascii="Arial" w:hAnsi="Arial" w:cs="Arial"/>
                <w:bCs/>
                <w:lang w:eastAsia="zh-CN"/>
              </w:rPr>
            </w:pPr>
            <w:r w:rsidRPr="00DA2207">
              <w:rPr>
                <w:rFonts w:ascii="Arial" w:hAnsi="Arial" w:cs="Arial"/>
                <w:bCs/>
                <w:lang w:eastAsia="zh-CN"/>
              </w:rPr>
              <w:t>UPF IMPLEMENTATION</w:t>
            </w:r>
          </w:p>
        </w:tc>
        <w:tc>
          <w:tcPr>
            <w:tcW w:w="4927" w:type="dxa"/>
          </w:tcPr>
          <w:p w14:paraId="2F261D80" w14:textId="77777777" w:rsidR="00EB77E6" w:rsidRPr="0098446E" w:rsidRDefault="00EB77E6" w:rsidP="00EB77E6">
            <w:pPr>
              <w:rPr>
                <w:b/>
                <w:bCs/>
              </w:rPr>
            </w:pPr>
            <w:r w:rsidRPr="0098446E">
              <w:rPr>
                <w:color w:val="222222"/>
                <w:shd w:val="clear" w:color="auto" w:fill="FFFFFF"/>
              </w:rPr>
              <w:t xml:space="preserve">The </w:t>
            </w:r>
            <w:r w:rsidRPr="0098446E">
              <w:rPr>
                <w:rStyle w:val="ac"/>
                <w:i w:val="0"/>
                <w:color w:val="222222"/>
                <w:shd w:val="clear" w:color="auto" w:fill="FFFFFF"/>
              </w:rPr>
              <w:t>PDU Sequence Number within a PDU Set</w:t>
            </w:r>
            <w:r w:rsidRPr="0098446E">
              <w:rPr>
                <w:rStyle w:val="ac"/>
                <w:i w:val="0"/>
                <w:color w:val="222222"/>
                <w:sz w:val="21"/>
                <w:szCs w:val="21"/>
                <w:shd w:val="clear" w:color="auto" w:fill="FFFFFF"/>
              </w:rPr>
              <w:t xml:space="preserve"> </w:t>
            </w:r>
            <w:r w:rsidRPr="0098446E">
              <w:rPr>
                <w:color w:val="222222"/>
                <w:sz w:val="21"/>
                <w:szCs w:val="21"/>
                <w:shd w:val="clear" w:color="auto" w:fill="FFFFFF"/>
              </w:rPr>
              <w:t>(</w:t>
            </w:r>
            <w:r w:rsidRPr="0098446E">
              <w:rPr>
                <w:rStyle w:val="ad"/>
                <w:color w:val="222222"/>
                <w:sz w:val="21"/>
                <w:szCs w:val="21"/>
                <w:shd w:val="clear" w:color="auto" w:fill="FFFFFF"/>
              </w:rPr>
              <w:t>PSN)</w:t>
            </w:r>
          </w:p>
        </w:tc>
      </w:tr>
      <w:tr w:rsidR="00EB77E6" w14:paraId="738E0565" w14:textId="77777777" w:rsidTr="00EB77E6">
        <w:tc>
          <w:tcPr>
            <w:tcW w:w="4928" w:type="dxa"/>
          </w:tcPr>
          <w:p w14:paraId="00375FD2" w14:textId="1B63D48C" w:rsidR="00EB77E6" w:rsidRPr="00DA2207" w:rsidRDefault="00E763A5" w:rsidP="00EB77E6">
            <w:pPr>
              <w:rPr>
                <w:bCs/>
                <w:lang w:eastAsia="zh-CN"/>
              </w:rPr>
            </w:pPr>
            <w:r w:rsidRPr="00DA2207">
              <w:rPr>
                <w:rFonts w:ascii="Arial" w:hAnsi="Arial" w:cs="Arial" w:hint="eastAsia"/>
                <w:bCs/>
                <w:lang w:eastAsia="zh-CN"/>
              </w:rPr>
              <w:t>O</w:t>
            </w:r>
            <w:r w:rsidRPr="00DA2207">
              <w:rPr>
                <w:rFonts w:ascii="Arial" w:hAnsi="Arial" w:cs="Arial"/>
                <w:bCs/>
                <w:lang w:eastAsia="zh-CN"/>
              </w:rPr>
              <w:t>bject Payload Length</w:t>
            </w:r>
          </w:p>
        </w:tc>
        <w:tc>
          <w:tcPr>
            <w:tcW w:w="4927" w:type="dxa"/>
          </w:tcPr>
          <w:p w14:paraId="67639D14" w14:textId="77777777" w:rsidR="00EB77E6" w:rsidRPr="00770D7C" w:rsidRDefault="00EB77E6" w:rsidP="00EB77E6">
            <w:pPr>
              <w:rPr>
                <w:b/>
                <w:bCs/>
              </w:rPr>
            </w:pPr>
            <w:r w:rsidRPr="00770D7C">
              <w:rPr>
                <w:color w:val="222222"/>
                <w:shd w:val="clear" w:color="auto" w:fill="FFFFFF"/>
              </w:rPr>
              <w:t xml:space="preserve">The </w:t>
            </w:r>
            <w:r w:rsidRPr="00770D7C">
              <w:rPr>
                <w:rStyle w:val="ac"/>
                <w:i w:val="0"/>
                <w:color w:val="222222"/>
                <w:shd w:val="clear" w:color="auto" w:fill="FFFFFF"/>
              </w:rPr>
              <w:t>PDU set size</w:t>
            </w:r>
            <w:r w:rsidRPr="00770D7C">
              <w:rPr>
                <w:rStyle w:val="ac"/>
                <w:color w:val="222222"/>
                <w:shd w:val="clear" w:color="auto" w:fill="FFFFFF"/>
              </w:rPr>
              <w:t xml:space="preserve"> </w:t>
            </w:r>
            <w:r w:rsidRPr="00770D7C">
              <w:rPr>
                <w:color w:val="222222"/>
                <w:shd w:val="clear" w:color="auto" w:fill="FFFFFF"/>
              </w:rPr>
              <w:t>(</w:t>
            </w:r>
            <w:r w:rsidRPr="00770D7C">
              <w:rPr>
                <w:rStyle w:val="ad"/>
                <w:color w:val="222222"/>
                <w:shd w:val="clear" w:color="auto" w:fill="FFFFFF"/>
              </w:rPr>
              <w:t>PSSize)</w:t>
            </w:r>
          </w:p>
        </w:tc>
      </w:tr>
    </w:tbl>
    <w:p w14:paraId="02FA2E67" w14:textId="0284124E" w:rsidR="00EB77E6" w:rsidRPr="000E5325" w:rsidRDefault="00EB77E6" w:rsidP="00EB77E6">
      <w:pPr>
        <w:jc w:val="center"/>
        <w:rPr>
          <w:b/>
          <w:bCs/>
          <w:lang w:eastAsia="zh-CN"/>
        </w:rPr>
      </w:pPr>
      <w:r w:rsidRPr="000E5325">
        <w:rPr>
          <w:b/>
          <w:bCs/>
          <w:lang w:eastAsia="zh-CN"/>
        </w:rPr>
        <w:t xml:space="preserve">Table MoQ Datagram -&gt; PDU </w:t>
      </w:r>
      <w:r w:rsidR="00734118">
        <w:rPr>
          <w:b/>
          <w:bCs/>
          <w:lang w:eastAsia="zh-CN"/>
        </w:rPr>
        <w:t>S</w:t>
      </w:r>
      <w:r w:rsidRPr="000E5325">
        <w:rPr>
          <w:b/>
          <w:bCs/>
          <w:lang w:eastAsia="zh-CN"/>
        </w:rPr>
        <w:t xml:space="preserve">et </w:t>
      </w:r>
      <w:r w:rsidR="00734118">
        <w:rPr>
          <w:b/>
          <w:bCs/>
          <w:lang w:eastAsia="zh-CN"/>
        </w:rPr>
        <w:t>I</w:t>
      </w:r>
      <w:r w:rsidRPr="000E5325">
        <w:rPr>
          <w:b/>
          <w:bCs/>
          <w:lang w:eastAsia="zh-CN"/>
        </w:rPr>
        <w:t>nformation</w:t>
      </w:r>
    </w:p>
    <w:p w14:paraId="52D2E28F" w14:textId="073E899B" w:rsidR="00EB77E6" w:rsidRDefault="00EB77E6" w:rsidP="00EB77E6">
      <w:pPr>
        <w:rPr>
          <w:rFonts w:ascii="Arial" w:hAnsi="Arial" w:cs="Arial"/>
          <w:b/>
          <w:bCs/>
        </w:rPr>
      </w:pPr>
    </w:p>
    <w:p w14:paraId="0531B868" w14:textId="77777777" w:rsidR="00734118" w:rsidRDefault="00734118" w:rsidP="00EB77E6">
      <w:pPr>
        <w:rPr>
          <w:rFonts w:ascii="Arial" w:hAnsi="Arial" w:cs="Arial"/>
          <w:b/>
          <w:bCs/>
        </w:rPr>
      </w:pPr>
    </w:p>
    <w:tbl>
      <w:tblPr>
        <w:tblStyle w:val="a9"/>
        <w:tblW w:w="0" w:type="auto"/>
        <w:tblLook w:val="04A0" w:firstRow="1" w:lastRow="0" w:firstColumn="1" w:lastColumn="0" w:noHBand="0" w:noVBand="1"/>
      </w:tblPr>
      <w:tblGrid>
        <w:gridCol w:w="4927"/>
        <w:gridCol w:w="4928"/>
      </w:tblGrid>
      <w:tr w:rsidR="00734118" w14:paraId="3B65B1DB" w14:textId="77777777" w:rsidTr="00734118">
        <w:tc>
          <w:tcPr>
            <w:tcW w:w="4927" w:type="dxa"/>
          </w:tcPr>
          <w:p w14:paraId="7F93DF1D" w14:textId="7A06E59A" w:rsidR="00734118" w:rsidRDefault="00734118" w:rsidP="00734118">
            <w:pPr>
              <w:rPr>
                <w:rFonts w:ascii="Arial" w:hAnsi="Arial" w:cs="Arial"/>
                <w:b/>
                <w:bCs/>
              </w:rPr>
            </w:pPr>
            <w:r w:rsidRPr="0083371D">
              <w:rPr>
                <w:rFonts w:ascii="Arial" w:hAnsi="Arial" w:cs="Arial"/>
                <w:b/>
                <w:bCs/>
                <w:lang w:eastAsia="zh-CN"/>
              </w:rPr>
              <w:t>Object Status</w:t>
            </w:r>
            <w:r w:rsidR="00804AF0">
              <w:rPr>
                <w:rFonts w:ascii="Arial" w:hAnsi="Arial" w:cs="Arial"/>
                <w:b/>
                <w:bCs/>
                <w:lang w:eastAsia="zh-CN"/>
              </w:rPr>
              <w:t>/UPF IMPLEMENTATION</w:t>
            </w:r>
          </w:p>
        </w:tc>
        <w:tc>
          <w:tcPr>
            <w:tcW w:w="4928" w:type="dxa"/>
          </w:tcPr>
          <w:p w14:paraId="66E35CA2" w14:textId="69D0B862" w:rsidR="00734118" w:rsidRDefault="00734118" w:rsidP="00734118">
            <w:pPr>
              <w:rPr>
                <w:rFonts w:ascii="Arial" w:hAnsi="Arial" w:cs="Arial"/>
                <w:b/>
                <w:bCs/>
              </w:rPr>
            </w:pPr>
            <w:r w:rsidRPr="0098446E">
              <w:rPr>
                <w:color w:val="222222"/>
                <w:sz w:val="21"/>
                <w:szCs w:val="21"/>
                <w:shd w:val="clear" w:color="auto" w:fill="FFFFFF"/>
              </w:rPr>
              <w:t xml:space="preserve">The </w:t>
            </w:r>
            <w:r w:rsidRPr="0098446E">
              <w:rPr>
                <w:rStyle w:val="ac"/>
                <w:i w:val="0"/>
                <w:color w:val="222222"/>
                <w:sz w:val="21"/>
                <w:szCs w:val="21"/>
                <w:shd w:val="clear" w:color="auto" w:fill="FFFFFF"/>
              </w:rPr>
              <w:t>end of data burst</w:t>
            </w:r>
            <w:r w:rsidRPr="0098446E">
              <w:rPr>
                <w:color w:val="222222"/>
                <w:sz w:val="21"/>
                <w:szCs w:val="21"/>
                <w:shd w:val="clear" w:color="auto" w:fill="FFFFFF"/>
              </w:rPr>
              <w:t>(</w:t>
            </w:r>
            <w:r w:rsidRPr="0098446E">
              <w:rPr>
                <w:rStyle w:val="ad"/>
                <w:color w:val="222222"/>
                <w:sz w:val="21"/>
                <w:szCs w:val="21"/>
                <w:shd w:val="clear" w:color="auto" w:fill="FFFFFF"/>
              </w:rPr>
              <w:t>D)</w:t>
            </w:r>
          </w:p>
        </w:tc>
      </w:tr>
    </w:tbl>
    <w:p w14:paraId="3A70577E" w14:textId="7854F781" w:rsidR="00734118" w:rsidRPr="000E5325" w:rsidRDefault="00734118" w:rsidP="00734118">
      <w:pPr>
        <w:jc w:val="center"/>
        <w:rPr>
          <w:b/>
          <w:bCs/>
          <w:lang w:eastAsia="zh-CN"/>
        </w:rPr>
      </w:pPr>
      <w:r w:rsidRPr="000E5325">
        <w:rPr>
          <w:b/>
          <w:bCs/>
          <w:lang w:eastAsia="zh-CN"/>
        </w:rPr>
        <w:t xml:space="preserve">Table MoQ Datagram -&gt; </w:t>
      </w:r>
      <w:r>
        <w:rPr>
          <w:b/>
          <w:bCs/>
          <w:lang w:eastAsia="zh-CN"/>
        </w:rPr>
        <w:t>The End of Data Burst</w:t>
      </w:r>
    </w:p>
    <w:p w14:paraId="7F4A6A2E" w14:textId="5320468B" w:rsidR="00EB77E6" w:rsidRDefault="00EB77E6" w:rsidP="00EB77E6">
      <w:pPr>
        <w:rPr>
          <w:rFonts w:ascii="Arial" w:hAnsi="Arial" w:cs="Arial"/>
          <w:b/>
          <w:bCs/>
        </w:rPr>
      </w:pPr>
    </w:p>
    <w:p w14:paraId="183F17FE" w14:textId="77777777" w:rsidR="0040661D" w:rsidRPr="00734118" w:rsidRDefault="0040661D" w:rsidP="00EB77E6">
      <w:pPr>
        <w:rPr>
          <w:rFonts w:ascii="Arial" w:hAnsi="Arial" w:cs="Arial"/>
          <w:b/>
          <w:bCs/>
        </w:rPr>
      </w:pPr>
    </w:p>
    <w:p w14:paraId="64D85C92" w14:textId="56FD6BE0" w:rsidR="00EB77E6" w:rsidRPr="0040661D" w:rsidRDefault="0040661D" w:rsidP="00EB77E6">
      <w:pPr>
        <w:rPr>
          <w:lang w:val="en-US"/>
        </w:rPr>
      </w:pPr>
      <w:r>
        <w:t>According to the request and information from the SMF, the UPF identifies the last PDU of a Data burst in the DL traffic using the DL Protocol Description and the received transport protocol headers as defined in the clause 5.37.8.3 in TS 23.501 [1].</w:t>
      </w:r>
      <w:r w:rsidRPr="0040661D">
        <w:t xml:space="preserve"> During the transmission process, if no data is transmitted for a period of 10ms to 20ms, the UPF will consider this as the end of the data burst (D).</w:t>
      </w:r>
    </w:p>
    <w:p w14:paraId="6A7A80F6" w14:textId="78B25FF7" w:rsidR="0040661D" w:rsidRDefault="0040661D" w:rsidP="00EB77E6">
      <w:pPr>
        <w:rPr>
          <w:rFonts w:ascii="Arial" w:hAnsi="Arial" w:cs="Arial"/>
          <w:b/>
          <w:bCs/>
        </w:rPr>
      </w:pPr>
    </w:p>
    <w:p w14:paraId="6B65B75E" w14:textId="77777777" w:rsidR="0040661D" w:rsidRDefault="0040661D" w:rsidP="00EB77E6">
      <w:pPr>
        <w:rPr>
          <w:rFonts w:ascii="Arial" w:hAnsi="Arial" w:cs="Arial"/>
          <w:b/>
          <w:bCs/>
        </w:rPr>
      </w:pPr>
    </w:p>
    <w:tbl>
      <w:tblPr>
        <w:tblStyle w:val="a9"/>
        <w:tblW w:w="0" w:type="auto"/>
        <w:tblLook w:val="04A0" w:firstRow="1" w:lastRow="0" w:firstColumn="1" w:lastColumn="0" w:noHBand="0" w:noVBand="1"/>
      </w:tblPr>
      <w:tblGrid>
        <w:gridCol w:w="4931"/>
        <w:gridCol w:w="4924"/>
      </w:tblGrid>
      <w:tr w:rsidR="00EB77E6" w14:paraId="50CF3C14" w14:textId="77777777" w:rsidTr="00EB77E6">
        <w:tc>
          <w:tcPr>
            <w:tcW w:w="4931" w:type="dxa"/>
          </w:tcPr>
          <w:p w14:paraId="5B64429A" w14:textId="1401AB9E" w:rsidR="00EB77E6" w:rsidRPr="00DA2207" w:rsidRDefault="00EB77E6" w:rsidP="00F441C5">
            <w:pPr>
              <w:rPr>
                <w:rFonts w:ascii="Arial" w:hAnsi="Arial" w:cs="Arial"/>
                <w:b/>
                <w:bCs/>
                <w:lang w:eastAsia="zh-CN"/>
              </w:rPr>
            </w:pPr>
            <w:r w:rsidRPr="00DA2207">
              <w:rPr>
                <w:rFonts w:ascii="Arial" w:hAnsi="Arial" w:cs="Arial"/>
                <w:b/>
                <w:bCs/>
                <w:lang w:eastAsia="zh-CN"/>
              </w:rPr>
              <w:t>Meta Data</w:t>
            </w:r>
          </w:p>
        </w:tc>
        <w:tc>
          <w:tcPr>
            <w:tcW w:w="4924" w:type="dxa"/>
          </w:tcPr>
          <w:p w14:paraId="305BE790" w14:textId="365AD90E" w:rsidR="00EB77E6" w:rsidRPr="00DA2207" w:rsidRDefault="00EB77E6" w:rsidP="00F441C5">
            <w:pPr>
              <w:rPr>
                <w:b/>
                <w:bCs/>
              </w:rPr>
            </w:pPr>
            <w:r w:rsidRPr="00DA2207">
              <w:rPr>
                <w:b/>
              </w:rPr>
              <w:t>PDU Set Information</w:t>
            </w:r>
          </w:p>
        </w:tc>
      </w:tr>
      <w:tr w:rsidR="00EB77E6" w14:paraId="563C864D" w14:textId="77777777" w:rsidTr="00EB77E6">
        <w:tc>
          <w:tcPr>
            <w:tcW w:w="4931" w:type="dxa"/>
          </w:tcPr>
          <w:p w14:paraId="35160B7E" w14:textId="148DC5FF" w:rsidR="00EB77E6" w:rsidRPr="00DA2207" w:rsidRDefault="00EB77E6" w:rsidP="00EB77E6">
            <w:pPr>
              <w:rPr>
                <w:rFonts w:ascii="Arial" w:hAnsi="Arial" w:cs="Arial"/>
                <w:bCs/>
                <w:lang w:eastAsia="zh-CN"/>
              </w:rPr>
            </w:pPr>
            <w:r w:rsidRPr="00DA2207">
              <w:rPr>
                <w:rFonts w:ascii="Arial" w:hAnsi="Arial" w:cs="Arial" w:hint="eastAsia"/>
                <w:bCs/>
                <w:lang w:eastAsia="zh-CN"/>
              </w:rPr>
              <w:t>Group</w:t>
            </w:r>
            <w:r w:rsidRPr="00DA2207">
              <w:rPr>
                <w:rFonts w:ascii="Arial" w:hAnsi="Arial" w:cs="Arial"/>
                <w:bCs/>
                <w:lang w:eastAsia="zh-CN"/>
              </w:rPr>
              <w:t xml:space="preserve"> ID + O</w:t>
            </w:r>
            <w:r w:rsidRPr="00DA2207">
              <w:rPr>
                <w:rFonts w:ascii="Arial" w:hAnsi="Arial" w:cs="Arial" w:hint="eastAsia"/>
                <w:bCs/>
                <w:lang w:eastAsia="zh-CN"/>
              </w:rPr>
              <w:t>bject</w:t>
            </w:r>
            <w:r w:rsidRPr="00DA2207">
              <w:rPr>
                <w:rFonts w:ascii="Arial" w:hAnsi="Arial" w:cs="Arial"/>
                <w:bCs/>
                <w:lang w:eastAsia="zh-CN"/>
              </w:rPr>
              <w:t xml:space="preserve"> ID</w:t>
            </w:r>
          </w:p>
        </w:tc>
        <w:tc>
          <w:tcPr>
            <w:tcW w:w="4924" w:type="dxa"/>
          </w:tcPr>
          <w:p w14:paraId="29C3C3D5" w14:textId="1DF17B0A" w:rsidR="00EB77E6" w:rsidRPr="0098446E" w:rsidRDefault="00EB77E6" w:rsidP="00EB77E6">
            <w:pPr>
              <w:rPr>
                <w:color w:val="222222"/>
                <w:sz w:val="21"/>
                <w:szCs w:val="21"/>
              </w:rPr>
            </w:pPr>
            <w:r w:rsidRPr="0098446E">
              <w:rPr>
                <w:color w:val="222222"/>
                <w:sz w:val="21"/>
                <w:szCs w:val="21"/>
              </w:rPr>
              <w:t xml:space="preserve">The </w:t>
            </w:r>
            <w:r w:rsidRPr="0098446E">
              <w:rPr>
                <w:rStyle w:val="ac"/>
                <w:i w:val="0"/>
                <w:color w:val="222222"/>
                <w:sz w:val="21"/>
                <w:szCs w:val="21"/>
              </w:rPr>
              <w:t xml:space="preserve">PDU set sequence number </w:t>
            </w:r>
            <w:r w:rsidRPr="0098446E">
              <w:rPr>
                <w:color w:val="222222"/>
                <w:sz w:val="21"/>
                <w:szCs w:val="21"/>
              </w:rPr>
              <w:t>(</w:t>
            </w:r>
            <w:r w:rsidRPr="0098446E">
              <w:rPr>
                <w:rStyle w:val="ad"/>
                <w:color w:val="222222"/>
                <w:sz w:val="21"/>
                <w:szCs w:val="21"/>
              </w:rPr>
              <w:t>PSSN</w:t>
            </w:r>
            <w:r w:rsidRPr="0098446E">
              <w:rPr>
                <w:rStyle w:val="ad"/>
                <w:color w:val="222222"/>
                <w:sz w:val="21"/>
                <w:szCs w:val="21"/>
                <w:lang w:eastAsia="zh-CN"/>
              </w:rPr>
              <w:t>)</w:t>
            </w:r>
          </w:p>
        </w:tc>
      </w:tr>
      <w:tr w:rsidR="00EB77E6" w14:paraId="375BE2B0" w14:textId="77777777" w:rsidTr="00EB77E6">
        <w:tc>
          <w:tcPr>
            <w:tcW w:w="4931" w:type="dxa"/>
          </w:tcPr>
          <w:p w14:paraId="3940B105" w14:textId="77777777" w:rsidR="00EB77E6" w:rsidRPr="00DA2207" w:rsidRDefault="00EB77E6" w:rsidP="00EB77E6">
            <w:pPr>
              <w:rPr>
                <w:rFonts w:ascii="Arial" w:hAnsi="Arial" w:cs="Arial"/>
                <w:bCs/>
                <w:lang w:eastAsia="zh-CN"/>
              </w:rPr>
            </w:pPr>
            <w:r w:rsidRPr="00DA2207">
              <w:rPr>
                <w:rFonts w:ascii="Arial" w:hAnsi="Arial" w:cs="Arial" w:hint="eastAsia"/>
                <w:bCs/>
                <w:lang w:eastAsia="zh-CN"/>
              </w:rPr>
              <w:t>Publisher</w:t>
            </w:r>
            <w:r w:rsidRPr="00DA2207">
              <w:rPr>
                <w:rFonts w:ascii="Arial" w:hAnsi="Arial" w:cs="Arial"/>
                <w:bCs/>
                <w:lang w:eastAsia="zh-CN"/>
              </w:rPr>
              <w:t xml:space="preserve"> P</w:t>
            </w:r>
            <w:r w:rsidRPr="00DA2207">
              <w:rPr>
                <w:rFonts w:ascii="Arial" w:hAnsi="Arial" w:cs="Arial" w:hint="eastAsia"/>
                <w:bCs/>
                <w:lang w:eastAsia="zh-CN"/>
              </w:rPr>
              <w:t>riority</w:t>
            </w:r>
          </w:p>
        </w:tc>
        <w:tc>
          <w:tcPr>
            <w:tcW w:w="4924" w:type="dxa"/>
          </w:tcPr>
          <w:p w14:paraId="01D3D9EC" w14:textId="77777777" w:rsidR="00EB77E6" w:rsidRPr="0098446E" w:rsidRDefault="00EB77E6" w:rsidP="00EB77E6">
            <w:pPr>
              <w:rPr>
                <w:b/>
                <w:bCs/>
              </w:rPr>
            </w:pPr>
            <w:r w:rsidRPr="0098446E">
              <w:rPr>
                <w:color w:val="222222"/>
                <w:sz w:val="21"/>
                <w:szCs w:val="21"/>
              </w:rPr>
              <w:t xml:space="preserve">The </w:t>
            </w:r>
            <w:r w:rsidRPr="0098446E">
              <w:rPr>
                <w:rStyle w:val="ac"/>
                <w:i w:val="0"/>
                <w:color w:val="222222"/>
                <w:sz w:val="21"/>
                <w:szCs w:val="21"/>
              </w:rPr>
              <w:t>PDU Set Importance</w:t>
            </w:r>
            <w:r w:rsidRPr="0098446E">
              <w:rPr>
                <w:rStyle w:val="ac"/>
                <w:color w:val="222222"/>
                <w:sz w:val="21"/>
                <w:szCs w:val="21"/>
              </w:rPr>
              <w:t xml:space="preserve"> </w:t>
            </w:r>
            <w:r w:rsidRPr="0098446E">
              <w:rPr>
                <w:color w:val="222222"/>
                <w:sz w:val="21"/>
                <w:szCs w:val="21"/>
              </w:rPr>
              <w:t>(</w:t>
            </w:r>
            <w:r w:rsidRPr="0098446E">
              <w:rPr>
                <w:rStyle w:val="ad"/>
                <w:color w:val="222222"/>
                <w:sz w:val="21"/>
                <w:szCs w:val="21"/>
              </w:rPr>
              <w:t>PSI</w:t>
            </w:r>
            <w:r w:rsidRPr="0098446E">
              <w:rPr>
                <w:rStyle w:val="ad"/>
                <w:color w:val="222222"/>
                <w:sz w:val="21"/>
                <w:szCs w:val="21"/>
                <w:lang w:eastAsia="zh-CN"/>
              </w:rPr>
              <w:t>)</w:t>
            </w:r>
          </w:p>
        </w:tc>
      </w:tr>
      <w:tr w:rsidR="00EB77E6" w14:paraId="65C4A96B" w14:textId="77777777" w:rsidTr="00EB77E6">
        <w:tc>
          <w:tcPr>
            <w:tcW w:w="4931" w:type="dxa"/>
          </w:tcPr>
          <w:p w14:paraId="5B145D5E" w14:textId="09B53CAC" w:rsidR="007F45AF" w:rsidRPr="00DA2207" w:rsidRDefault="00EB77E6" w:rsidP="00EB77E6">
            <w:pPr>
              <w:rPr>
                <w:rFonts w:ascii="Arial" w:hAnsi="Arial" w:cs="Arial"/>
                <w:bCs/>
                <w:lang w:eastAsia="zh-CN"/>
              </w:rPr>
            </w:pPr>
            <w:r w:rsidRPr="00DA2207">
              <w:rPr>
                <w:rFonts w:ascii="Arial" w:hAnsi="Arial" w:cs="Arial"/>
                <w:bCs/>
                <w:lang w:eastAsia="zh-CN"/>
              </w:rPr>
              <w:t>is derived from the FIN flag of the QUIC stream</w:t>
            </w:r>
            <w:r w:rsidR="007F45AF" w:rsidRPr="00DA2207">
              <w:rPr>
                <w:rFonts w:ascii="Arial" w:hAnsi="Arial" w:cs="Arial"/>
                <w:bCs/>
                <w:lang w:eastAsia="zh-CN"/>
              </w:rPr>
              <w:t>/</w:t>
            </w:r>
            <w:r w:rsidR="00734118" w:rsidRPr="00DA2207">
              <w:rPr>
                <w:rFonts w:ascii="Arial" w:hAnsi="Arial" w:cs="Arial" w:hint="eastAsia"/>
                <w:bCs/>
                <w:lang w:eastAsia="zh-CN"/>
              </w:rPr>
              <w:t xml:space="preserve"> O</w:t>
            </w:r>
            <w:r w:rsidR="00734118" w:rsidRPr="00DA2207">
              <w:rPr>
                <w:rFonts w:ascii="Arial" w:hAnsi="Arial" w:cs="Arial"/>
                <w:bCs/>
                <w:lang w:eastAsia="zh-CN"/>
              </w:rPr>
              <w:t>bject Payload Length</w:t>
            </w:r>
          </w:p>
        </w:tc>
        <w:tc>
          <w:tcPr>
            <w:tcW w:w="4924" w:type="dxa"/>
          </w:tcPr>
          <w:p w14:paraId="374ED16A" w14:textId="77777777" w:rsidR="00EB77E6" w:rsidRPr="0098446E" w:rsidRDefault="00EB77E6" w:rsidP="00EB77E6">
            <w:pPr>
              <w:rPr>
                <w:b/>
                <w:bCs/>
              </w:rPr>
            </w:pPr>
            <w:r w:rsidRPr="0098446E">
              <w:rPr>
                <w:color w:val="222222"/>
                <w:sz w:val="21"/>
                <w:szCs w:val="21"/>
                <w:shd w:val="clear" w:color="auto" w:fill="FFFFFF"/>
              </w:rPr>
              <w:t>The</w:t>
            </w:r>
            <w:r w:rsidRPr="0098446E">
              <w:rPr>
                <w:i/>
                <w:color w:val="222222"/>
                <w:sz w:val="21"/>
                <w:szCs w:val="21"/>
                <w:shd w:val="clear" w:color="auto" w:fill="FFFFFF"/>
              </w:rPr>
              <w:t xml:space="preserve"> </w:t>
            </w:r>
            <w:r w:rsidRPr="0098446E">
              <w:rPr>
                <w:rStyle w:val="ac"/>
                <w:i w:val="0"/>
                <w:color w:val="222222"/>
                <w:sz w:val="21"/>
                <w:szCs w:val="21"/>
                <w:shd w:val="clear" w:color="auto" w:fill="FFFFFF"/>
              </w:rPr>
              <w:t xml:space="preserve">end PDU of PDU set </w:t>
            </w:r>
            <w:r w:rsidRPr="0098446E">
              <w:rPr>
                <w:i/>
                <w:color w:val="222222"/>
                <w:sz w:val="21"/>
                <w:szCs w:val="21"/>
                <w:shd w:val="clear" w:color="auto" w:fill="FFFFFF"/>
              </w:rPr>
              <w:t>(</w:t>
            </w:r>
            <w:r w:rsidRPr="0098446E">
              <w:rPr>
                <w:rStyle w:val="ad"/>
                <w:color w:val="222222"/>
                <w:sz w:val="21"/>
                <w:szCs w:val="21"/>
                <w:shd w:val="clear" w:color="auto" w:fill="FFFFFF"/>
              </w:rPr>
              <w:t>E)</w:t>
            </w:r>
          </w:p>
        </w:tc>
      </w:tr>
      <w:tr w:rsidR="00EB77E6" w14:paraId="36380BFC" w14:textId="77777777" w:rsidTr="00EB77E6">
        <w:tc>
          <w:tcPr>
            <w:tcW w:w="4931" w:type="dxa"/>
          </w:tcPr>
          <w:p w14:paraId="0C4636CE" w14:textId="430A341E" w:rsidR="00EB77E6" w:rsidRPr="00DA2207" w:rsidRDefault="007F45AF" w:rsidP="00EB77E6">
            <w:pPr>
              <w:rPr>
                <w:rFonts w:ascii="Arial" w:hAnsi="Arial" w:cs="Arial"/>
                <w:bCs/>
                <w:lang w:eastAsia="zh-CN"/>
              </w:rPr>
            </w:pPr>
            <w:r w:rsidRPr="00DA2207">
              <w:rPr>
                <w:rFonts w:ascii="Arial" w:hAnsi="Arial" w:cs="Arial"/>
                <w:bCs/>
                <w:lang w:eastAsia="zh-CN"/>
              </w:rPr>
              <w:t>UPF IMPLEMENTATION</w:t>
            </w:r>
          </w:p>
        </w:tc>
        <w:tc>
          <w:tcPr>
            <w:tcW w:w="4924" w:type="dxa"/>
          </w:tcPr>
          <w:p w14:paraId="7CB13B2C" w14:textId="77777777" w:rsidR="00EB77E6" w:rsidRPr="0098446E" w:rsidRDefault="00EB77E6" w:rsidP="00EB77E6">
            <w:pPr>
              <w:rPr>
                <w:b/>
                <w:bCs/>
              </w:rPr>
            </w:pPr>
            <w:r w:rsidRPr="0098446E">
              <w:rPr>
                <w:color w:val="222222"/>
                <w:shd w:val="clear" w:color="auto" w:fill="FFFFFF"/>
              </w:rPr>
              <w:t xml:space="preserve">The </w:t>
            </w:r>
            <w:r w:rsidRPr="0098446E">
              <w:rPr>
                <w:rStyle w:val="ac"/>
                <w:i w:val="0"/>
                <w:color w:val="222222"/>
                <w:shd w:val="clear" w:color="auto" w:fill="FFFFFF"/>
              </w:rPr>
              <w:t>PDU Sequence Number within a PDU Set</w:t>
            </w:r>
            <w:r w:rsidRPr="0098446E">
              <w:rPr>
                <w:rStyle w:val="ac"/>
                <w:i w:val="0"/>
                <w:color w:val="222222"/>
                <w:sz w:val="21"/>
                <w:szCs w:val="21"/>
                <w:shd w:val="clear" w:color="auto" w:fill="FFFFFF"/>
              </w:rPr>
              <w:t xml:space="preserve"> </w:t>
            </w:r>
            <w:r w:rsidRPr="0098446E">
              <w:rPr>
                <w:color w:val="222222"/>
                <w:sz w:val="21"/>
                <w:szCs w:val="21"/>
                <w:shd w:val="clear" w:color="auto" w:fill="FFFFFF"/>
              </w:rPr>
              <w:t>(</w:t>
            </w:r>
            <w:r w:rsidRPr="0098446E">
              <w:rPr>
                <w:rStyle w:val="ad"/>
                <w:color w:val="222222"/>
                <w:sz w:val="21"/>
                <w:szCs w:val="21"/>
                <w:shd w:val="clear" w:color="auto" w:fill="FFFFFF"/>
              </w:rPr>
              <w:t>PSN)</w:t>
            </w:r>
          </w:p>
        </w:tc>
      </w:tr>
      <w:tr w:rsidR="007F45AF" w14:paraId="18CD5668" w14:textId="77777777" w:rsidTr="00EB77E6">
        <w:tc>
          <w:tcPr>
            <w:tcW w:w="4931" w:type="dxa"/>
          </w:tcPr>
          <w:p w14:paraId="1F3085E9" w14:textId="343996E6" w:rsidR="007F45AF" w:rsidRPr="00DA2207" w:rsidRDefault="007F45AF" w:rsidP="007F45AF">
            <w:pPr>
              <w:rPr>
                <w:bCs/>
                <w:lang w:eastAsia="zh-CN"/>
              </w:rPr>
            </w:pPr>
            <w:r w:rsidRPr="00DA2207">
              <w:rPr>
                <w:rFonts w:ascii="Arial" w:hAnsi="Arial" w:cs="Arial" w:hint="eastAsia"/>
                <w:bCs/>
                <w:lang w:eastAsia="zh-CN"/>
              </w:rPr>
              <w:t>O</w:t>
            </w:r>
            <w:r w:rsidRPr="00DA2207">
              <w:rPr>
                <w:rFonts w:ascii="Arial" w:hAnsi="Arial" w:cs="Arial"/>
                <w:bCs/>
                <w:lang w:eastAsia="zh-CN"/>
              </w:rPr>
              <w:t>bject Payload Length</w:t>
            </w:r>
          </w:p>
        </w:tc>
        <w:tc>
          <w:tcPr>
            <w:tcW w:w="4924" w:type="dxa"/>
          </w:tcPr>
          <w:p w14:paraId="238DFA70" w14:textId="77777777" w:rsidR="007F45AF" w:rsidRPr="00770D7C" w:rsidRDefault="007F45AF" w:rsidP="007F45AF">
            <w:pPr>
              <w:rPr>
                <w:b/>
                <w:bCs/>
              </w:rPr>
            </w:pPr>
            <w:r w:rsidRPr="00770D7C">
              <w:rPr>
                <w:color w:val="222222"/>
                <w:shd w:val="clear" w:color="auto" w:fill="FFFFFF"/>
              </w:rPr>
              <w:t xml:space="preserve">The </w:t>
            </w:r>
            <w:r w:rsidRPr="00770D7C">
              <w:rPr>
                <w:rStyle w:val="ac"/>
                <w:i w:val="0"/>
                <w:color w:val="222222"/>
                <w:shd w:val="clear" w:color="auto" w:fill="FFFFFF"/>
              </w:rPr>
              <w:t>PDU set size</w:t>
            </w:r>
            <w:r w:rsidRPr="00770D7C">
              <w:rPr>
                <w:rStyle w:val="ac"/>
                <w:color w:val="222222"/>
                <w:shd w:val="clear" w:color="auto" w:fill="FFFFFF"/>
              </w:rPr>
              <w:t xml:space="preserve"> </w:t>
            </w:r>
            <w:r w:rsidRPr="00770D7C">
              <w:rPr>
                <w:color w:val="222222"/>
                <w:shd w:val="clear" w:color="auto" w:fill="FFFFFF"/>
              </w:rPr>
              <w:t>(</w:t>
            </w:r>
            <w:r w:rsidRPr="00770D7C">
              <w:rPr>
                <w:rStyle w:val="ad"/>
                <w:color w:val="222222"/>
                <w:shd w:val="clear" w:color="auto" w:fill="FFFFFF"/>
              </w:rPr>
              <w:t>PSSize)</w:t>
            </w:r>
          </w:p>
        </w:tc>
      </w:tr>
    </w:tbl>
    <w:p w14:paraId="3456C704" w14:textId="77777777" w:rsidR="00EB77E6" w:rsidRPr="000E5325" w:rsidRDefault="00EB77E6" w:rsidP="00EB77E6">
      <w:pPr>
        <w:jc w:val="center"/>
        <w:rPr>
          <w:b/>
          <w:bCs/>
          <w:lang w:eastAsia="zh-CN"/>
        </w:rPr>
      </w:pPr>
      <w:r w:rsidRPr="000E5325">
        <w:rPr>
          <w:b/>
          <w:bCs/>
          <w:lang w:eastAsia="zh-CN"/>
        </w:rPr>
        <w:t xml:space="preserve">Table MoQ </w:t>
      </w:r>
      <w:r>
        <w:rPr>
          <w:b/>
          <w:bCs/>
          <w:lang w:eastAsia="zh-CN"/>
        </w:rPr>
        <w:t>Stream</w:t>
      </w:r>
      <w:r w:rsidRPr="000E5325">
        <w:rPr>
          <w:b/>
          <w:bCs/>
          <w:lang w:eastAsia="zh-CN"/>
        </w:rPr>
        <w:t xml:space="preserve"> -&gt; PDU set information</w:t>
      </w:r>
    </w:p>
    <w:p w14:paraId="53E70681" w14:textId="77777777" w:rsidR="0079154F" w:rsidRDefault="0079154F" w:rsidP="007A7780">
      <w:pPr>
        <w:pStyle w:val="aa"/>
        <w:shd w:val="clear" w:color="auto" w:fill="FFFFFF"/>
        <w:spacing w:before="0" w:beforeAutospacing="0" w:after="240" w:afterAutospacing="0"/>
        <w:rPr>
          <w:rFonts w:ascii="Times New Roman" w:hAnsi="Times New Roman" w:cs="Times New Roman"/>
          <w:color w:val="222222"/>
          <w:sz w:val="20"/>
          <w:szCs w:val="20"/>
          <w:lang w:val="en-GB"/>
        </w:rPr>
      </w:pPr>
    </w:p>
    <w:tbl>
      <w:tblPr>
        <w:tblStyle w:val="a9"/>
        <w:tblW w:w="0" w:type="auto"/>
        <w:tblLook w:val="04A0" w:firstRow="1" w:lastRow="0" w:firstColumn="1" w:lastColumn="0" w:noHBand="0" w:noVBand="1"/>
      </w:tblPr>
      <w:tblGrid>
        <w:gridCol w:w="4927"/>
        <w:gridCol w:w="4928"/>
      </w:tblGrid>
      <w:tr w:rsidR="00734118" w14:paraId="25F8BBA7" w14:textId="77777777" w:rsidTr="002173E9">
        <w:tc>
          <w:tcPr>
            <w:tcW w:w="4927" w:type="dxa"/>
          </w:tcPr>
          <w:p w14:paraId="0137418A" w14:textId="05D46041" w:rsidR="00734118" w:rsidRDefault="00734118" w:rsidP="002173E9">
            <w:pPr>
              <w:rPr>
                <w:rFonts w:ascii="Arial" w:hAnsi="Arial" w:cs="Arial"/>
                <w:b/>
                <w:bCs/>
              </w:rPr>
            </w:pPr>
            <w:r w:rsidRPr="0083371D">
              <w:rPr>
                <w:rFonts w:ascii="Arial" w:hAnsi="Arial" w:cs="Arial"/>
                <w:b/>
                <w:bCs/>
                <w:lang w:eastAsia="zh-CN"/>
              </w:rPr>
              <w:t>Object Status</w:t>
            </w:r>
            <w:r w:rsidR="00804AF0">
              <w:rPr>
                <w:rFonts w:ascii="Arial" w:hAnsi="Arial" w:cs="Arial"/>
                <w:b/>
                <w:bCs/>
                <w:lang w:eastAsia="zh-CN"/>
              </w:rPr>
              <w:t xml:space="preserve"> /UPF IMPLEMENTATION</w:t>
            </w:r>
          </w:p>
        </w:tc>
        <w:tc>
          <w:tcPr>
            <w:tcW w:w="4928" w:type="dxa"/>
          </w:tcPr>
          <w:p w14:paraId="3FD9EA27" w14:textId="77777777" w:rsidR="00734118" w:rsidRDefault="00734118" w:rsidP="002173E9">
            <w:pPr>
              <w:rPr>
                <w:rFonts w:ascii="Arial" w:hAnsi="Arial" w:cs="Arial"/>
                <w:b/>
                <w:bCs/>
              </w:rPr>
            </w:pPr>
            <w:r w:rsidRPr="0098446E">
              <w:rPr>
                <w:color w:val="222222"/>
                <w:sz w:val="21"/>
                <w:szCs w:val="21"/>
                <w:shd w:val="clear" w:color="auto" w:fill="FFFFFF"/>
              </w:rPr>
              <w:t xml:space="preserve">The </w:t>
            </w:r>
            <w:r w:rsidRPr="0098446E">
              <w:rPr>
                <w:rStyle w:val="ac"/>
                <w:i w:val="0"/>
                <w:color w:val="222222"/>
                <w:sz w:val="21"/>
                <w:szCs w:val="21"/>
                <w:shd w:val="clear" w:color="auto" w:fill="FFFFFF"/>
              </w:rPr>
              <w:t>end of data burst</w:t>
            </w:r>
            <w:r w:rsidRPr="0098446E">
              <w:rPr>
                <w:color w:val="222222"/>
                <w:sz w:val="21"/>
                <w:szCs w:val="21"/>
                <w:shd w:val="clear" w:color="auto" w:fill="FFFFFF"/>
              </w:rPr>
              <w:t>(</w:t>
            </w:r>
            <w:r w:rsidRPr="0098446E">
              <w:rPr>
                <w:rStyle w:val="ad"/>
                <w:color w:val="222222"/>
                <w:sz w:val="21"/>
                <w:szCs w:val="21"/>
                <w:shd w:val="clear" w:color="auto" w:fill="FFFFFF"/>
              </w:rPr>
              <w:t>D)</w:t>
            </w:r>
          </w:p>
        </w:tc>
      </w:tr>
    </w:tbl>
    <w:p w14:paraId="0C435982" w14:textId="6F6A896A" w:rsidR="00734118" w:rsidRPr="000E5325" w:rsidRDefault="00734118" w:rsidP="00734118">
      <w:pPr>
        <w:jc w:val="center"/>
        <w:rPr>
          <w:b/>
          <w:bCs/>
          <w:lang w:eastAsia="zh-CN"/>
        </w:rPr>
      </w:pPr>
      <w:r w:rsidRPr="000E5325">
        <w:rPr>
          <w:b/>
          <w:bCs/>
          <w:lang w:eastAsia="zh-CN"/>
        </w:rPr>
        <w:t xml:space="preserve">Table MoQ </w:t>
      </w:r>
      <w:r>
        <w:rPr>
          <w:b/>
          <w:bCs/>
          <w:lang w:eastAsia="zh-CN"/>
        </w:rPr>
        <w:t>Stream</w:t>
      </w:r>
      <w:r w:rsidRPr="000E5325">
        <w:rPr>
          <w:b/>
          <w:bCs/>
          <w:lang w:eastAsia="zh-CN"/>
        </w:rPr>
        <w:t xml:space="preserve"> -&gt; </w:t>
      </w:r>
      <w:r>
        <w:rPr>
          <w:b/>
          <w:bCs/>
          <w:lang w:eastAsia="zh-CN"/>
        </w:rPr>
        <w:t>The End of Data Burst</w:t>
      </w:r>
    </w:p>
    <w:p w14:paraId="1FB86EA4" w14:textId="652693ED" w:rsidR="00734118" w:rsidRDefault="00734118" w:rsidP="007A7780">
      <w:pPr>
        <w:pStyle w:val="aa"/>
        <w:shd w:val="clear" w:color="auto" w:fill="FFFFFF"/>
        <w:spacing w:before="0" w:beforeAutospacing="0" w:after="240" w:afterAutospacing="0"/>
        <w:rPr>
          <w:rFonts w:ascii="Times New Roman" w:hAnsi="Times New Roman" w:cs="Times New Roman"/>
          <w:color w:val="222222"/>
          <w:sz w:val="20"/>
          <w:szCs w:val="20"/>
          <w:lang w:val="en-GB"/>
        </w:rPr>
      </w:pPr>
    </w:p>
    <w:p w14:paraId="2DD4AFD0" w14:textId="53698718" w:rsidR="008C02D8" w:rsidRDefault="008C02D8" w:rsidP="007A7780">
      <w:pPr>
        <w:pStyle w:val="aa"/>
        <w:shd w:val="clear" w:color="auto" w:fill="FFFFFF"/>
        <w:spacing w:before="0" w:beforeAutospacing="0" w:after="240" w:afterAutospacing="0"/>
        <w:rPr>
          <w:rFonts w:ascii="Times New Roman" w:hAnsi="Times New Roman" w:cs="Times New Roman"/>
          <w:color w:val="222222"/>
          <w:sz w:val="20"/>
          <w:szCs w:val="20"/>
          <w:lang w:val="en-GB"/>
        </w:rPr>
      </w:pPr>
    </w:p>
    <w:p w14:paraId="7F90B400" w14:textId="77777777" w:rsidR="008C02D8" w:rsidRPr="002D03D6" w:rsidRDefault="008C02D8" w:rsidP="008C02D8">
      <w:pPr>
        <w:overflowPunct w:val="0"/>
        <w:autoSpaceDE w:val="0"/>
        <w:autoSpaceDN w:val="0"/>
        <w:adjustRightInd w:val="0"/>
        <w:spacing w:after="180"/>
        <w:rPr>
          <w:i/>
          <w:iCs/>
          <w:color w:val="C45911"/>
          <w:lang w:eastAsia="en-GB"/>
        </w:rPr>
      </w:pPr>
    </w:p>
    <w:p w14:paraId="6D564EC5" w14:textId="77777777" w:rsidR="008C02D8" w:rsidRPr="0083371D" w:rsidRDefault="008C02D8" w:rsidP="008C02D8">
      <w:pPr>
        <w:spacing w:after="120"/>
        <w:rPr>
          <w:b/>
          <w:bCs/>
          <w:lang w:eastAsia="en-GB"/>
        </w:rPr>
      </w:pPr>
      <w:r w:rsidRPr="002D2FD6">
        <w:rPr>
          <w:b/>
          <w:bCs/>
        </w:rPr>
        <w:lastRenderedPageBreak/>
        <w:t xml:space="preserve">Observation </w:t>
      </w:r>
      <w:r>
        <w:rPr>
          <w:b/>
          <w:bCs/>
        </w:rPr>
        <w:t>2</w:t>
      </w:r>
      <w:r w:rsidRPr="002D2FD6">
        <w:rPr>
          <w:b/>
          <w:bCs/>
        </w:rPr>
        <w:t xml:space="preserve">: </w:t>
      </w:r>
      <w:r w:rsidRPr="004456D8">
        <w:rPr>
          <w:b/>
          <w:bCs/>
        </w:rPr>
        <w:t xml:space="preserve">As a </w:t>
      </w:r>
      <w:proofErr w:type="spellStart"/>
      <w:r w:rsidRPr="004456D8">
        <w:rPr>
          <w:b/>
          <w:bCs/>
        </w:rPr>
        <w:t>MoQ</w:t>
      </w:r>
      <w:proofErr w:type="spellEnd"/>
      <w:r w:rsidRPr="004456D8">
        <w:rPr>
          <w:b/>
          <w:bCs/>
        </w:rPr>
        <w:t xml:space="preserve"> relay, the UPF can map the MOQT Datagrams/MOQT Streams to the PDU set information.</w:t>
      </w:r>
    </w:p>
    <w:p w14:paraId="127076F8" w14:textId="77777777" w:rsidR="008C02D8" w:rsidRPr="008C02D8" w:rsidRDefault="008C02D8" w:rsidP="007A7780">
      <w:pPr>
        <w:pStyle w:val="aa"/>
        <w:shd w:val="clear" w:color="auto" w:fill="FFFFFF"/>
        <w:spacing w:before="0" w:beforeAutospacing="0" w:after="240" w:afterAutospacing="0"/>
        <w:rPr>
          <w:rFonts w:ascii="Times New Roman" w:hAnsi="Times New Roman" w:cs="Times New Roman" w:hint="eastAsia"/>
          <w:color w:val="222222"/>
          <w:sz w:val="20"/>
          <w:szCs w:val="20"/>
          <w:lang w:val="en-GB"/>
        </w:rPr>
      </w:pPr>
    </w:p>
    <w:p w14:paraId="1405E502" w14:textId="05D3EA6B" w:rsidR="00734118" w:rsidRPr="0009403D" w:rsidRDefault="00734118" w:rsidP="007A7780">
      <w:pPr>
        <w:pStyle w:val="aa"/>
        <w:shd w:val="clear" w:color="auto" w:fill="FFFFFF"/>
        <w:spacing w:before="0" w:beforeAutospacing="0" w:after="240" w:afterAutospacing="0"/>
        <w:rPr>
          <w:rFonts w:ascii="Times New Roman" w:hAnsi="Times New Roman" w:cs="Times New Roman"/>
          <w:b/>
          <w:i/>
          <w:color w:val="222222"/>
          <w:sz w:val="20"/>
          <w:szCs w:val="20"/>
          <w:lang w:val="en-GB"/>
        </w:rPr>
      </w:pPr>
      <w:r w:rsidRPr="0009403D">
        <w:rPr>
          <w:rFonts w:ascii="Times New Roman" w:hAnsi="Times New Roman" w:cs="Times New Roman"/>
          <w:b/>
          <w:i/>
          <w:color w:val="222222"/>
          <w:sz w:val="20"/>
          <w:szCs w:val="20"/>
          <w:lang w:val="en-GB"/>
        </w:rPr>
        <w:t>Reference:</w:t>
      </w:r>
    </w:p>
    <w:p w14:paraId="6AA06F33" w14:textId="6F327A83" w:rsidR="00734118" w:rsidRPr="00C434CB" w:rsidRDefault="00734118" w:rsidP="00734118">
      <w:pPr>
        <w:rPr>
          <w:bCs/>
          <w:lang w:eastAsia="zh-CN"/>
        </w:rPr>
      </w:pPr>
      <w:r w:rsidRPr="00C434CB">
        <w:rPr>
          <w:bCs/>
          <w:lang w:eastAsia="zh-CN"/>
        </w:rPr>
        <w:t>All unidirectional MOQT streams, as well as all datagrams, start with a variable-length integer indicating the type of the stream in question.</w:t>
      </w:r>
    </w:p>
    <w:p w14:paraId="4572CF62" w14:textId="77777777" w:rsidR="00734118" w:rsidRDefault="00734118" w:rsidP="00734118">
      <w:pPr>
        <w:rPr>
          <w:rFonts w:ascii="Arial" w:hAnsi="Arial" w:cs="Arial"/>
          <w:b/>
          <w:bCs/>
          <w:lang w:eastAsia="zh-CN"/>
        </w:rPr>
      </w:pPr>
    </w:p>
    <w:tbl>
      <w:tblPr>
        <w:tblStyle w:val="a9"/>
        <w:tblW w:w="0" w:type="auto"/>
        <w:tblInd w:w="2041" w:type="dxa"/>
        <w:tblLook w:val="04A0" w:firstRow="1" w:lastRow="0" w:firstColumn="1" w:lastColumn="0" w:noHBand="0" w:noVBand="1"/>
      </w:tblPr>
      <w:tblGrid>
        <w:gridCol w:w="821"/>
        <w:gridCol w:w="3432"/>
      </w:tblGrid>
      <w:tr w:rsidR="00734118" w14:paraId="45847215" w14:textId="77777777" w:rsidTr="002173E9">
        <w:tc>
          <w:tcPr>
            <w:tcW w:w="821" w:type="dxa"/>
          </w:tcPr>
          <w:p w14:paraId="608ABE2A" w14:textId="77777777" w:rsidR="00734118" w:rsidRPr="000F515B" w:rsidRDefault="00734118" w:rsidP="002173E9">
            <w:pPr>
              <w:jc w:val="center"/>
              <w:rPr>
                <w:b/>
                <w:bCs/>
                <w:lang w:eastAsia="zh-CN"/>
              </w:rPr>
            </w:pPr>
            <w:r w:rsidRPr="000F515B">
              <w:rPr>
                <w:b/>
                <w:bCs/>
                <w:lang w:eastAsia="zh-CN"/>
              </w:rPr>
              <w:t>ID</w:t>
            </w:r>
          </w:p>
        </w:tc>
        <w:tc>
          <w:tcPr>
            <w:tcW w:w="3432" w:type="dxa"/>
          </w:tcPr>
          <w:p w14:paraId="45AE29C0" w14:textId="77777777" w:rsidR="00734118" w:rsidRPr="000F515B" w:rsidRDefault="00734118" w:rsidP="002173E9">
            <w:pPr>
              <w:rPr>
                <w:b/>
                <w:bCs/>
                <w:lang w:eastAsia="zh-CN"/>
              </w:rPr>
            </w:pPr>
            <w:r w:rsidRPr="000F515B">
              <w:rPr>
                <w:b/>
                <w:bCs/>
                <w:lang w:eastAsia="zh-CN"/>
              </w:rPr>
              <w:t>Stream Type</w:t>
            </w:r>
          </w:p>
        </w:tc>
      </w:tr>
      <w:tr w:rsidR="00734118" w14:paraId="672D6877" w14:textId="77777777" w:rsidTr="002173E9">
        <w:tc>
          <w:tcPr>
            <w:tcW w:w="821" w:type="dxa"/>
          </w:tcPr>
          <w:p w14:paraId="0519667A" w14:textId="77777777" w:rsidR="00734118" w:rsidRPr="000F515B" w:rsidRDefault="00734118" w:rsidP="002173E9">
            <w:pPr>
              <w:jc w:val="center"/>
              <w:rPr>
                <w:bCs/>
                <w:lang w:eastAsia="zh-CN"/>
              </w:rPr>
            </w:pPr>
            <w:r w:rsidRPr="000F515B">
              <w:rPr>
                <w:bCs/>
                <w:lang w:eastAsia="zh-CN"/>
              </w:rPr>
              <w:t>0x1</w:t>
            </w:r>
          </w:p>
        </w:tc>
        <w:tc>
          <w:tcPr>
            <w:tcW w:w="3432" w:type="dxa"/>
          </w:tcPr>
          <w:p w14:paraId="3A7CF770" w14:textId="77777777" w:rsidR="00734118" w:rsidRPr="000F515B" w:rsidRDefault="00734118" w:rsidP="002173E9">
            <w:pPr>
              <w:rPr>
                <w:bCs/>
                <w:lang w:eastAsia="zh-CN"/>
              </w:rPr>
            </w:pPr>
            <w:r w:rsidRPr="000F515B">
              <w:rPr>
                <w:bCs/>
                <w:lang w:eastAsia="zh-CN"/>
              </w:rPr>
              <w:t>OBJECT_DATAGRAM</w:t>
            </w:r>
          </w:p>
        </w:tc>
      </w:tr>
      <w:tr w:rsidR="00734118" w14:paraId="16EC44D8" w14:textId="77777777" w:rsidTr="002173E9">
        <w:tc>
          <w:tcPr>
            <w:tcW w:w="821" w:type="dxa"/>
          </w:tcPr>
          <w:p w14:paraId="540D82D5" w14:textId="77777777" w:rsidR="00734118" w:rsidRPr="000F515B" w:rsidRDefault="00734118" w:rsidP="002173E9">
            <w:pPr>
              <w:jc w:val="center"/>
              <w:rPr>
                <w:bCs/>
                <w:lang w:eastAsia="zh-CN"/>
              </w:rPr>
            </w:pPr>
            <w:r w:rsidRPr="000F515B">
              <w:rPr>
                <w:bCs/>
                <w:lang w:eastAsia="zh-CN"/>
              </w:rPr>
              <w:t>0x4</w:t>
            </w:r>
          </w:p>
        </w:tc>
        <w:tc>
          <w:tcPr>
            <w:tcW w:w="3432" w:type="dxa"/>
          </w:tcPr>
          <w:p w14:paraId="25610AE9" w14:textId="77777777" w:rsidR="00734118" w:rsidRPr="000F515B" w:rsidRDefault="00734118" w:rsidP="002173E9">
            <w:pPr>
              <w:rPr>
                <w:bCs/>
                <w:lang w:eastAsia="zh-CN"/>
              </w:rPr>
            </w:pPr>
            <w:r w:rsidRPr="000F515B">
              <w:rPr>
                <w:bCs/>
                <w:lang w:eastAsia="zh-CN"/>
              </w:rPr>
              <w:t>STREAM_HEADER_SUBGROUP</w:t>
            </w:r>
          </w:p>
        </w:tc>
      </w:tr>
      <w:tr w:rsidR="00734118" w14:paraId="783770FA" w14:textId="77777777" w:rsidTr="002173E9">
        <w:tc>
          <w:tcPr>
            <w:tcW w:w="821" w:type="dxa"/>
          </w:tcPr>
          <w:p w14:paraId="0119CECA" w14:textId="77777777" w:rsidR="00734118" w:rsidRPr="000F515B" w:rsidRDefault="00734118" w:rsidP="002173E9">
            <w:pPr>
              <w:jc w:val="center"/>
              <w:rPr>
                <w:bCs/>
                <w:lang w:eastAsia="zh-CN"/>
              </w:rPr>
            </w:pPr>
            <w:r w:rsidRPr="000F515B">
              <w:rPr>
                <w:bCs/>
                <w:lang w:eastAsia="zh-CN"/>
              </w:rPr>
              <w:t>0x5</w:t>
            </w:r>
          </w:p>
        </w:tc>
        <w:tc>
          <w:tcPr>
            <w:tcW w:w="3432" w:type="dxa"/>
          </w:tcPr>
          <w:p w14:paraId="561ED753" w14:textId="77777777" w:rsidR="00734118" w:rsidRPr="000F515B" w:rsidRDefault="00734118" w:rsidP="002173E9">
            <w:pPr>
              <w:rPr>
                <w:bCs/>
                <w:lang w:eastAsia="zh-CN"/>
              </w:rPr>
            </w:pPr>
            <w:r w:rsidRPr="000F515B">
              <w:rPr>
                <w:bCs/>
                <w:lang w:eastAsia="zh-CN"/>
              </w:rPr>
              <w:t>FETCH_HEADER</w:t>
            </w:r>
          </w:p>
        </w:tc>
      </w:tr>
    </w:tbl>
    <w:p w14:paraId="626C0687" w14:textId="77777777" w:rsidR="001C20EA" w:rsidRPr="001C20EA" w:rsidRDefault="001C20EA" w:rsidP="001C20EA">
      <w:pPr>
        <w:rPr>
          <w:bCs/>
          <w:lang w:eastAsia="zh-CN"/>
        </w:rPr>
      </w:pPr>
      <w:r w:rsidRPr="001C20EA">
        <w:rPr>
          <w:bCs/>
          <w:lang w:eastAsia="zh-CN"/>
        </w:rPr>
        <w:t>An OBJECT_DATAGRAM message carries a single object in a datagram.</w:t>
      </w:r>
    </w:p>
    <w:p w14:paraId="65435A55" w14:textId="77777777" w:rsidR="001C20EA" w:rsidRPr="001C20EA" w:rsidRDefault="001C20EA" w:rsidP="001C20EA">
      <w:pPr>
        <w:rPr>
          <w:bCs/>
          <w:lang w:eastAsia="zh-CN"/>
        </w:rPr>
      </w:pPr>
    </w:p>
    <w:p w14:paraId="01F62CB9" w14:textId="764EE9D2" w:rsidR="00734118" w:rsidRDefault="001C20EA" w:rsidP="001C20EA">
      <w:pPr>
        <w:rPr>
          <w:bCs/>
          <w:lang w:eastAsia="zh-CN"/>
        </w:rPr>
      </w:pPr>
      <w:r w:rsidRPr="001C20EA">
        <w:rPr>
          <w:bCs/>
          <w:lang w:eastAsia="zh-CN"/>
        </w:rPr>
        <w:t>An Object received in an OBJECT_DATAGRAM message has an Object Forwarding Preference = Datagram. To send an Object with Object Forwarding Preference = Datagram, determine the length of the header and payload and send the Object as datagram. In certain scenarios where the object size can be larger than maximum datagram size for the session, the Object will be dropped.</w:t>
      </w:r>
    </w:p>
    <w:p w14:paraId="4C6D133A" w14:textId="77777777" w:rsidR="001C20EA" w:rsidRPr="001C20EA" w:rsidRDefault="001C20EA" w:rsidP="001C20EA">
      <w:pPr>
        <w:rPr>
          <w:bCs/>
          <w:lang w:eastAsia="zh-CN"/>
        </w:rPr>
      </w:pPr>
    </w:p>
    <w:p w14:paraId="5C1E5919" w14:textId="77777777" w:rsidR="00734118" w:rsidRPr="00F733B4" w:rsidRDefault="00734118" w:rsidP="00734118">
      <w:pPr>
        <w:rPr>
          <w:bCs/>
          <w:lang w:eastAsia="zh-CN"/>
        </w:rPr>
      </w:pPr>
      <w:r w:rsidRPr="000F515B">
        <w:rPr>
          <w:bCs/>
          <w:lang w:eastAsia="zh-CN"/>
        </w:rPr>
        <w:t>Object Datagram Message</w:t>
      </w:r>
    </w:p>
    <w:p w14:paraId="134CEE27" w14:textId="77777777" w:rsidR="00734118" w:rsidRDefault="00734118" w:rsidP="00734118">
      <w:pPr>
        <w:rPr>
          <w:rFonts w:ascii="Arial" w:hAnsi="Arial" w:cs="Arial"/>
          <w:b/>
          <w:bCs/>
          <w:lang w:eastAsia="zh-CN"/>
        </w:rPr>
      </w:pPr>
    </w:p>
    <w:p w14:paraId="0958FF06" w14:textId="77777777" w:rsidR="00734118" w:rsidRPr="00F733B4" w:rsidRDefault="00734118" w:rsidP="00734118">
      <w:pPr>
        <w:pStyle w:val="B2"/>
        <w:rPr>
          <w:i/>
          <w:iCs/>
          <w:color w:val="C45911"/>
        </w:rPr>
      </w:pPr>
      <w:r w:rsidRPr="00F733B4">
        <w:rPr>
          <w:i/>
          <w:iCs/>
          <w:color w:val="C45911"/>
        </w:rPr>
        <w:t>OBJECT_DATAGRAM Message {</w:t>
      </w:r>
    </w:p>
    <w:p w14:paraId="363C4D24"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Track Alias (i),</w:t>
      </w:r>
    </w:p>
    <w:p w14:paraId="42682E40"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Group ID (i),</w:t>
      </w:r>
    </w:p>
    <w:p w14:paraId="31C334BA"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Object ID (i),</w:t>
      </w:r>
    </w:p>
    <w:p w14:paraId="28CA977E"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Publisher Priority (8),</w:t>
      </w:r>
    </w:p>
    <w:p w14:paraId="7F228108"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Object Payload Length (i),</w:t>
      </w:r>
    </w:p>
    <w:p w14:paraId="69BCFBF3"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[Object Status (i)],</w:t>
      </w:r>
    </w:p>
    <w:p w14:paraId="121A96C9" w14:textId="77777777" w:rsidR="00734118" w:rsidRPr="00F733B4" w:rsidRDefault="00734118" w:rsidP="00734118">
      <w:pPr>
        <w:pStyle w:val="B2"/>
        <w:rPr>
          <w:i/>
          <w:iCs/>
          <w:color w:val="C45911"/>
        </w:rPr>
      </w:pPr>
      <w:r w:rsidRPr="00E711BA">
        <w:rPr>
          <w:i/>
          <w:iCs/>
          <w:color w:val="C45911"/>
        </w:rPr>
        <w:t>-</w:t>
      </w:r>
      <w:r w:rsidRPr="00E711BA">
        <w:rPr>
          <w:i/>
          <w:iCs/>
          <w:color w:val="C45911"/>
        </w:rPr>
        <w:tab/>
      </w:r>
      <w:r w:rsidRPr="00F733B4">
        <w:rPr>
          <w:i/>
          <w:iCs/>
          <w:color w:val="C45911"/>
        </w:rPr>
        <w:t>Object Payload (..),</w:t>
      </w:r>
    </w:p>
    <w:p w14:paraId="21175A03" w14:textId="77777777" w:rsidR="00734118" w:rsidRPr="00F733B4" w:rsidRDefault="00734118" w:rsidP="00734118">
      <w:pPr>
        <w:pStyle w:val="B2"/>
        <w:rPr>
          <w:i/>
          <w:iCs/>
          <w:color w:val="C45911"/>
        </w:rPr>
      </w:pPr>
      <w:r w:rsidRPr="00F733B4">
        <w:rPr>
          <w:i/>
          <w:iCs/>
          <w:color w:val="C45911"/>
        </w:rPr>
        <w:t>}</w:t>
      </w:r>
    </w:p>
    <w:p w14:paraId="17E4F963" w14:textId="738F84BA" w:rsidR="00734118" w:rsidRDefault="001C20EA" w:rsidP="00734118">
      <w:pPr>
        <w:rPr>
          <w:bCs/>
          <w:lang w:eastAsia="zh-CN"/>
        </w:rPr>
      </w:pPr>
      <w:r w:rsidRPr="001C20EA">
        <w:rPr>
          <w:bCs/>
          <w:lang w:eastAsia="zh-CN"/>
        </w:rPr>
        <w:t>When objects are sent on streams, the stream begins with a stream header message and is followed by one or more sets of serialized object fields.</w:t>
      </w:r>
    </w:p>
    <w:p w14:paraId="63E3DC03" w14:textId="77777777" w:rsidR="001C20EA" w:rsidRPr="001C20EA" w:rsidRDefault="001C20EA" w:rsidP="00734118">
      <w:pPr>
        <w:rPr>
          <w:bCs/>
          <w:lang w:eastAsia="zh-CN"/>
        </w:rPr>
      </w:pPr>
    </w:p>
    <w:p w14:paraId="46400BB4" w14:textId="57801C11" w:rsidR="00734118" w:rsidRDefault="00734118" w:rsidP="00734118">
      <w:pPr>
        <w:rPr>
          <w:bCs/>
          <w:lang w:eastAsia="zh-CN"/>
        </w:rPr>
      </w:pPr>
      <w:r w:rsidRPr="00174867">
        <w:rPr>
          <w:bCs/>
          <w:lang w:eastAsia="zh-CN"/>
        </w:rPr>
        <w:t>Streams</w:t>
      </w:r>
    </w:p>
    <w:p w14:paraId="68C1983B" w14:textId="77777777" w:rsidR="001C20EA" w:rsidRPr="00174867" w:rsidRDefault="001C20EA" w:rsidP="00734118">
      <w:pPr>
        <w:rPr>
          <w:bCs/>
          <w:lang w:eastAsia="zh-CN"/>
        </w:rPr>
      </w:pPr>
    </w:p>
    <w:p w14:paraId="220DCFD6" w14:textId="14FE340B" w:rsidR="00734118" w:rsidRPr="001C20EA" w:rsidRDefault="001C20EA" w:rsidP="001C20EA">
      <w:pPr>
        <w:ind w:firstLineChars="200" w:firstLine="400"/>
        <w:rPr>
          <w:bCs/>
          <w:lang w:eastAsia="zh-CN"/>
        </w:rPr>
      </w:pPr>
      <w:r w:rsidRPr="001C20EA">
        <w:rPr>
          <w:bCs/>
          <w:lang w:eastAsia="zh-CN"/>
        </w:rPr>
        <w:t>All Objects received on a stream opened with STREAM_HEADER_SUBGROUP have an Object Forwarding Preference = Subgroup.</w:t>
      </w:r>
    </w:p>
    <w:p w14:paraId="06EAF73F" w14:textId="77777777" w:rsidR="00734118" w:rsidRPr="00174867" w:rsidRDefault="00734118" w:rsidP="00734118">
      <w:pPr>
        <w:pStyle w:val="B2"/>
        <w:rPr>
          <w:i/>
          <w:iCs/>
          <w:color w:val="C45911"/>
        </w:rPr>
      </w:pPr>
      <w:r w:rsidRPr="00174867">
        <w:rPr>
          <w:i/>
          <w:iCs/>
          <w:color w:val="C45911"/>
        </w:rPr>
        <w:t>STREAM_HEADER_SUBGROUP Message {</w:t>
      </w:r>
    </w:p>
    <w:p w14:paraId="7F1BEFB1" w14:textId="77777777" w:rsidR="00734118" w:rsidRPr="00174867" w:rsidRDefault="00734118" w:rsidP="00734118">
      <w:pPr>
        <w:pStyle w:val="B2"/>
        <w:rPr>
          <w:i/>
          <w:iCs/>
          <w:color w:val="C45911"/>
        </w:rPr>
      </w:pPr>
      <w:r w:rsidRPr="00174867">
        <w:rPr>
          <w:i/>
          <w:iCs/>
          <w:color w:val="C45911"/>
        </w:rPr>
        <w:t xml:space="preserve">  Track Alias (i),</w:t>
      </w:r>
    </w:p>
    <w:p w14:paraId="6DC76843" w14:textId="77777777" w:rsidR="00734118" w:rsidRPr="00174867" w:rsidRDefault="00734118" w:rsidP="00734118">
      <w:pPr>
        <w:pStyle w:val="B2"/>
        <w:rPr>
          <w:i/>
          <w:iCs/>
          <w:color w:val="C45911"/>
        </w:rPr>
      </w:pPr>
      <w:r w:rsidRPr="00174867">
        <w:rPr>
          <w:i/>
          <w:iCs/>
          <w:color w:val="C45911"/>
        </w:rPr>
        <w:t xml:space="preserve">  Group ID (i),</w:t>
      </w:r>
    </w:p>
    <w:p w14:paraId="15F7C210" w14:textId="77777777" w:rsidR="00734118" w:rsidRPr="00174867" w:rsidRDefault="00734118" w:rsidP="00734118">
      <w:pPr>
        <w:pStyle w:val="B2"/>
        <w:rPr>
          <w:i/>
          <w:iCs/>
          <w:color w:val="C45911"/>
        </w:rPr>
      </w:pPr>
      <w:r w:rsidRPr="00174867">
        <w:rPr>
          <w:i/>
          <w:iCs/>
          <w:color w:val="C45911"/>
        </w:rPr>
        <w:t xml:space="preserve">  Subgroup ID (i),</w:t>
      </w:r>
    </w:p>
    <w:p w14:paraId="5CDC8CB1" w14:textId="77777777" w:rsidR="00734118" w:rsidRPr="00174867" w:rsidRDefault="00734118" w:rsidP="00734118">
      <w:pPr>
        <w:pStyle w:val="B2"/>
        <w:rPr>
          <w:i/>
          <w:iCs/>
          <w:color w:val="C45911"/>
        </w:rPr>
      </w:pPr>
      <w:r w:rsidRPr="00174867">
        <w:rPr>
          <w:i/>
          <w:iCs/>
          <w:color w:val="C45911"/>
        </w:rPr>
        <w:t xml:space="preserve">  Publisher Priority (8),</w:t>
      </w:r>
    </w:p>
    <w:p w14:paraId="140E5AF0" w14:textId="77777777" w:rsidR="00734118" w:rsidRPr="00174867" w:rsidRDefault="00734118" w:rsidP="00734118">
      <w:pPr>
        <w:pStyle w:val="B2"/>
        <w:rPr>
          <w:i/>
          <w:iCs/>
          <w:color w:val="C45911"/>
        </w:rPr>
      </w:pPr>
      <w:r w:rsidRPr="00174867">
        <w:rPr>
          <w:i/>
          <w:iCs/>
          <w:color w:val="C45911"/>
        </w:rPr>
        <w:t>}</w:t>
      </w:r>
    </w:p>
    <w:p w14:paraId="05C36D9A" w14:textId="65FA0A64" w:rsidR="00734118" w:rsidRDefault="00734118" w:rsidP="00734118">
      <w:pPr>
        <w:rPr>
          <w:rFonts w:ascii="Arial" w:hAnsi="Arial" w:cs="Arial"/>
          <w:b/>
          <w:bCs/>
          <w:lang w:eastAsia="zh-CN"/>
        </w:rPr>
      </w:pPr>
    </w:p>
    <w:p w14:paraId="0D0E590F" w14:textId="3DB0C25B" w:rsidR="000E5325" w:rsidRPr="002D03D6" w:rsidRDefault="000E5325">
      <w:pPr>
        <w:rPr>
          <w:rFonts w:ascii="Arial" w:hAnsi="Arial" w:cs="Arial"/>
          <w:b/>
          <w:bCs/>
        </w:rPr>
      </w:pPr>
    </w:p>
    <w:p w14:paraId="45199DD0" w14:textId="77777777" w:rsidR="002F2FCF" w:rsidRDefault="002F2FCF" w:rsidP="002F2FCF">
      <w:pPr>
        <w:pStyle w:val="1"/>
      </w:pPr>
      <w:r>
        <w:t>2-</w:t>
      </w:r>
      <w:r>
        <w:tab/>
        <w:t>Conclusions</w:t>
      </w:r>
    </w:p>
    <w:p w14:paraId="411CF600" w14:textId="560B9B0F" w:rsidR="00621E7A" w:rsidRPr="002F2FCF" w:rsidRDefault="002F2FCF" w:rsidP="002F2FCF">
      <w:pPr>
        <w:spacing w:before="120" w:after="120"/>
      </w:pPr>
      <w:r>
        <w:t>Due to the following observations:</w:t>
      </w:r>
    </w:p>
    <w:p w14:paraId="73D1E5A9" w14:textId="20DCFEA3" w:rsidR="002820A7" w:rsidRPr="002820A7" w:rsidRDefault="002820A7" w:rsidP="00F7722B">
      <w:pPr>
        <w:spacing w:after="120"/>
        <w:rPr>
          <w:b/>
          <w:bCs/>
        </w:rPr>
      </w:pPr>
      <w:r w:rsidRPr="002D2FD6">
        <w:rPr>
          <w:b/>
          <w:bCs/>
        </w:rPr>
        <w:lastRenderedPageBreak/>
        <w:t xml:space="preserve">Observation </w:t>
      </w:r>
      <w:r>
        <w:rPr>
          <w:b/>
          <w:bCs/>
        </w:rPr>
        <w:t>1</w:t>
      </w:r>
      <w:r w:rsidRPr="002D2FD6">
        <w:rPr>
          <w:b/>
          <w:bCs/>
        </w:rPr>
        <w:t xml:space="preserve">: </w:t>
      </w:r>
      <w:r w:rsidRPr="00621E7A">
        <w:rPr>
          <w:b/>
          <w:bCs/>
        </w:rPr>
        <w:t>When the UPF acts as a MoQ relay, the address of the MoQ relay can be sent to the UE through the EASDF</w:t>
      </w:r>
      <w:r>
        <w:rPr>
          <w:b/>
          <w:bCs/>
        </w:rPr>
        <w:t xml:space="preserve">. </w:t>
      </w:r>
    </w:p>
    <w:p w14:paraId="294D431A" w14:textId="1115EB4B" w:rsidR="00F7722B" w:rsidRPr="0083371D" w:rsidRDefault="00F7722B" w:rsidP="00F7722B">
      <w:pPr>
        <w:spacing w:after="120"/>
        <w:rPr>
          <w:b/>
          <w:bCs/>
          <w:lang w:eastAsia="en-GB"/>
        </w:rPr>
      </w:pPr>
      <w:r w:rsidRPr="002D2FD6">
        <w:rPr>
          <w:b/>
          <w:bCs/>
        </w:rPr>
        <w:t xml:space="preserve">Observation </w:t>
      </w:r>
      <w:r w:rsidR="002820A7">
        <w:rPr>
          <w:b/>
          <w:bCs/>
        </w:rPr>
        <w:t>2</w:t>
      </w:r>
      <w:r w:rsidRPr="002D2FD6">
        <w:rPr>
          <w:b/>
          <w:bCs/>
        </w:rPr>
        <w:t xml:space="preserve">: </w:t>
      </w:r>
      <w:r w:rsidRPr="004456D8">
        <w:rPr>
          <w:b/>
          <w:bCs/>
        </w:rPr>
        <w:t>As a MoQ relay, the UPF can map the MOQT Datagrams/MOQT Streams to the PDU set information.</w:t>
      </w:r>
    </w:p>
    <w:p w14:paraId="572E743A" w14:textId="66213142" w:rsidR="000E5325" w:rsidRDefault="00F7722B">
      <w:pPr>
        <w:rPr>
          <w:rFonts w:ascii="Arial" w:hAnsi="Arial" w:cs="Arial"/>
          <w:b/>
          <w:bCs/>
        </w:rPr>
      </w:pPr>
      <w:r>
        <w:t>It is concluded that</w:t>
      </w:r>
      <w:r w:rsidR="00C300A3">
        <w:t xml:space="preserve"> </w:t>
      </w:r>
      <w:r w:rsidR="005474BA">
        <w:t>i</w:t>
      </w:r>
      <w:r w:rsidR="00C300A3" w:rsidRPr="00C300A3">
        <w:t xml:space="preserve">n the case where the UPF acts as a MoQ relay, </w:t>
      </w:r>
      <w:r w:rsidR="00C4022A" w:rsidRPr="00C300A3">
        <w:t>the address of the MoQ relay can be sent to the UE via EASDF</w:t>
      </w:r>
      <w:r w:rsidR="00C4022A">
        <w:t xml:space="preserve">, and after receiving the downlink data, </w:t>
      </w:r>
      <w:r w:rsidR="00C300A3" w:rsidRPr="00C300A3">
        <w:t>the UPF can map the MoQ metadata to PDU set information</w:t>
      </w:r>
      <w:r w:rsidR="00C4022A">
        <w:t>. It is proposed to agree the related contributions in C4-25</w:t>
      </w:r>
      <w:r w:rsidR="0009403D">
        <w:t>0228</w:t>
      </w:r>
      <w:r w:rsidR="00C4022A">
        <w:t xml:space="preserve"> and C4-25</w:t>
      </w:r>
      <w:r w:rsidR="0009403D">
        <w:t>0229</w:t>
      </w:r>
      <w:bookmarkStart w:id="0" w:name="_GoBack"/>
      <w:bookmarkEnd w:id="0"/>
      <w:r w:rsidR="00C4022A">
        <w:t xml:space="preserve"> to define the MoQ relay function in UPF.</w:t>
      </w:r>
    </w:p>
    <w:p w14:paraId="3FB69EDB" w14:textId="5BF8FAD8" w:rsidR="00C434CB" w:rsidRPr="000E5325" w:rsidRDefault="00C434CB">
      <w:pPr>
        <w:rPr>
          <w:rFonts w:ascii="Arial" w:hAnsi="Arial" w:cs="Arial"/>
          <w:b/>
          <w:bCs/>
        </w:rPr>
      </w:pPr>
    </w:p>
    <w:p w14:paraId="0F81A412" w14:textId="7B800600" w:rsidR="005F5068" w:rsidRDefault="00C434CB" w:rsidP="00C434CB">
      <w:pPr>
        <w:spacing w:before="120" w:after="120"/>
      </w:pPr>
      <w:r>
        <w:t>Reference</w:t>
      </w:r>
    </w:p>
    <w:p w14:paraId="1FE66C75" w14:textId="2D79DA80" w:rsidR="00C434CB" w:rsidRDefault="00C434CB" w:rsidP="005F5068">
      <w:pPr>
        <w:pStyle w:val="EX"/>
      </w:pPr>
      <w:r>
        <w:t>[</w:t>
      </w:r>
      <w:r w:rsidR="00941E23">
        <w:t>1</w:t>
      </w:r>
      <w:r>
        <w:t>]</w:t>
      </w:r>
      <w:r>
        <w:tab/>
      </w:r>
      <w:r w:rsidR="00957E59">
        <w:t>3GPP TS 23.50</w:t>
      </w:r>
      <w:r w:rsidR="005F5068">
        <w:t>1</w:t>
      </w:r>
      <w:r w:rsidR="00957E59">
        <w:t>:</w:t>
      </w:r>
      <w:r w:rsidR="00FD5329" w:rsidRPr="00FD5329">
        <w:t xml:space="preserve"> </w:t>
      </w:r>
      <w:r w:rsidR="00FD5329">
        <w:t>"</w:t>
      </w:r>
      <w:r w:rsidR="005F5068" w:rsidRPr="005F5068">
        <w:t xml:space="preserve"> </w:t>
      </w:r>
      <w:r w:rsidR="005F5068">
        <w:t>System architecture for the 5G System (5GS);</w:t>
      </w:r>
      <w:r w:rsidR="005F5068">
        <w:rPr>
          <w:rFonts w:hint="eastAsia"/>
          <w:lang w:eastAsia="zh-CN"/>
        </w:rPr>
        <w:t xml:space="preserve"> </w:t>
      </w:r>
      <w:r w:rsidR="005F5068">
        <w:t>Stage 2</w:t>
      </w:r>
      <w:r w:rsidR="00FD5329">
        <w:t>"</w:t>
      </w:r>
    </w:p>
    <w:p w14:paraId="20D05C9D" w14:textId="07867B5C" w:rsidR="005F5068" w:rsidRDefault="005F5068" w:rsidP="00FD5329">
      <w:pPr>
        <w:pStyle w:val="EX"/>
        <w:rPr>
          <w:lang w:eastAsia="zh-CN"/>
        </w:rPr>
      </w:pPr>
      <w:r>
        <w:rPr>
          <w:rFonts w:hint="eastAsia"/>
          <w:lang w:eastAsia="zh-CN"/>
        </w:rPr>
        <w:t>[</w:t>
      </w:r>
      <w:r>
        <w:rPr>
          <w:lang w:eastAsia="zh-CN"/>
        </w:rPr>
        <w:t>2]</w:t>
      </w:r>
      <w:r w:rsidRPr="005F5068">
        <w:t xml:space="preserve"> </w:t>
      </w:r>
      <w:r>
        <w:tab/>
        <w:t>3GPP TS 23.502:</w:t>
      </w:r>
      <w:r w:rsidRPr="00FD5329">
        <w:t xml:space="preserve"> </w:t>
      </w:r>
      <w:r>
        <w:t>"Procedures for the 5G System (5GS);</w:t>
      </w:r>
      <w:r>
        <w:rPr>
          <w:rFonts w:hint="eastAsia"/>
          <w:lang w:eastAsia="zh-CN"/>
        </w:rPr>
        <w:t xml:space="preserve"> </w:t>
      </w:r>
      <w:r>
        <w:t>Stage 2"</w:t>
      </w:r>
    </w:p>
    <w:p w14:paraId="65DB96B3" w14:textId="264B0931" w:rsidR="00C434CB" w:rsidRDefault="00C434CB" w:rsidP="00A24214">
      <w:pPr>
        <w:pStyle w:val="EX"/>
      </w:pPr>
      <w:r>
        <w:t>[</w:t>
      </w:r>
      <w:r w:rsidR="005F5068">
        <w:t>3]</w:t>
      </w:r>
      <w:r>
        <w:tab/>
      </w:r>
      <w:r w:rsidR="00FD5329">
        <w:t>3GPP TS 23.548</w:t>
      </w:r>
      <w:r w:rsidR="00A24214">
        <w:t>:</w:t>
      </w:r>
      <w:r w:rsidR="00A24214" w:rsidRPr="00FD5329">
        <w:t xml:space="preserve"> </w:t>
      </w:r>
      <w:r w:rsidR="00A24214">
        <w:t>"5G System Enhancements for Edge Computing;</w:t>
      </w:r>
      <w:r w:rsidR="00A24214">
        <w:rPr>
          <w:rFonts w:hint="eastAsia"/>
          <w:lang w:eastAsia="zh-CN"/>
        </w:rPr>
        <w:t xml:space="preserve"> </w:t>
      </w:r>
      <w:r w:rsidR="00A24214">
        <w:t>Stage 2"</w:t>
      </w:r>
    </w:p>
    <w:p w14:paraId="050E6861" w14:textId="27AC67CE" w:rsidR="00957AE4" w:rsidRDefault="00957AE4" w:rsidP="00957AE4">
      <w:pPr>
        <w:pStyle w:val="EX"/>
      </w:pPr>
      <w:r>
        <w:t>[</w:t>
      </w:r>
      <w:r w:rsidR="005F5068">
        <w:t>4]</w:t>
      </w:r>
      <w:r>
        <w:tab/>
        <w:t>IETF:</w:t>
      </w:r>
      <w:r w:rsidRPr="00FD5329">
        <w:t xml:space="preserve"> </w:t>
      </w:r>
      <w:hyperlink r:id="rId10" w:anchor="name-data-streams" w:history="1">
        <w:r w:rsidRPr="00957AE4">
          <w:rPr>
            <w:rStyle w:val="ab"/>
          </w:rPr>
          <w:t>"Media over QUIC Transport"</w:t>
        </w:r>
      </w:hyperlink>
    </w:p>
    <w:p w14:paraId="79BC0EA7" w14:textId="77777777" w:rsidR="00C434CB" w:rsidRPr="00957AE4" w:rsidRDefault="00C434CB">
      <w:pPr>
        <w:rPr>
          <w:rFonts w:ascii="Arial" w:hAnsi="Arial" w:cs="Arial"/>
          <w:b/>
          <w:bCs/>
        </w:rPr>
      </w:pPr>
    </w:p>
    <w:sectPr w:rsidR="00C434CB" w:rsidRPr="00957AE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60B94" w14:textId="77777777" w:rsidR="00226F02" w:rsidRDefault="00226F02">
      <w:r>
        <w:separator/>
      </w:r>
    </w:p>
  </w:endnote>
  <w:endnote w:type="continuationSeparator" w:id="0">
    <w:p w14:paraId="5235296D" w14:textId="77777777" w:rsidR="00226F02" w:rsidRDefault="0022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DF33" w14:textId="77777777" w:rsidR="00226F02" w:rsidRDefault="00226F02">
      <w:r>
        <w:separator/>
      </w:r>
    </w:p>
  </w:footnote>
  <w:footnote w:type="continuationSeparator" w:id="0">
    <w:p w14:paraId="198834C9" w14:textId="77777777" w:rsidR="00226F02" w:rsidRDefault="00226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D135B"/>
    <w:multiLevelType w:val="multilevel"/>
    <w:tmpl w:val="7AD83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7840B21"/>
    <w:multiLevelType w:val="multilevel"/>
    <w:tmpl w:val="1F903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0FB6695"/>
    <w:multiLevelType w:val="multilevel"/>
    <w:tmpl w:val="4720F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6F1757"/>
    <w:multiLevelType w:val="multilevel"/>
    <w:tmpl w:val="31420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4ADF"/>
    <w:rsid w:val="00072A7C"/>
    <w:rsid w:val="000775E7"/>
    <w:rsid w:val="0007775C"/>
    <w:rsid w:val="00086ED0"/>
    <w:rsid w:val="0009403D"/>
    <w:rsid w:val="00094F23"/>
    <w:rsid w:val="000967F4"/>
    <w:rsid w:val="000B087E"/>
    <w:rsid w:val="000C48B7"/>
    <w:rsid w:val="000D6D78"/>
    <w:rsid w:val="000E0429"/>
    <w:rsid w:val="000E5325"/>
    <w:rsid w:val="000F4788"/>
    <w:rsid w:val="000F515B"/>
    <w:rsid w:val="000F6E51"/>
    <w:rsid w:val="00102A24"/>
    <w:rsid w:val="00124C78"/>
    <w:rsid w:val="0013142A"/>
    <w:rsid w:val="0013259C"/>
    <w:rsid w:val="00134B39"/>
    <w:rsid w:val="00135828"/>
    <w:rsid w:val="00135831"/>
    <w:rsid w:val="001376A6"/>
    <w:rsid w:val="001424CD"/>
    <w:rsid w:val="0014413C"/>
    <w:rsid w:val="001476D2"/>
    <w:rsid w:val="00166A1B"/>
    <w:rsid w:val="00174867"/>
    <w:rsid w:val="00192B41"/>
    <w:rsid w:val="00197E4A"/>
    <w:rsid w:val="001A0FE8"/>
    <w:rsid w:val="001A31EF"/>
    <w:rsid w:val="001B01F1"/>
    <w:rsid w:val="001B2414"/>
    <w:rsid w:val="001B5421"/>
    <w:rsid w:val="001B650D"/>
    <w:rsid w:val="001C20EA"/>
    <w:rsid w:val="001C30B3"/>
    <w:rsid w:val="001D0B09"/>
    <w:rsid w:val="001E6729"/>
    <w:rsid w:val="001F0F09"/>
    <w:rsid w:val="002070CB"/>
    <w:rsid w:val="00226F02"/>
    <w:rsid w:val="002336BF"/>
    <w:rsid w:val="00235F9B"/>
    <w:rsid w:val="00236BBA"/>
    <w:rsid w:val="00236D1F"/>
    <w:rsid w:val="002407FF"/>
    <w:rsid w:val="00250F58"/>
    <w:rsid w:val="002541D3"/>
    <w:rsid w:val="00256429"/>
    <w:rsid w:val="0026253E"/>
    <w:rsid w:val="00272D61"/>
    <w:rsid w:val="00274A9C"/>
    <w:rsid w:val="0028060F"/>
    <w:rsid w:val="002820A7"/>
    <w:rsid w:val="002919B7"/>
    <w:rsid w:val="00295D61"/>
    <w:rsid w:val="002B074C"/>
    <w:rsid w:val="002B2FE7"/>
    <w:rsid w:val="002B34EA"/>
    <w:rsid w:val="002B5361"/>
    <w:rsid w:val="002C1BA4"/>
    <w:rsid w:val="002C47B8"/>
    <w:rsid w:val="002D03D6"/>
    <w:rsid w:val="002D2FD6"/>
    <w:rsid w:val="002E397B"/>
    <w:rsid w:val="002E3AE2"/>
    <w:rsid w:val="002E7077"/>
    <w:rsid w:val="002F2FCF"/>
    <w:rsid w:val="002F7CCB"/>
    <w:rsid w:val="00310E70"/>
    <w:rsid w:val="00313F3E"/>
    <w:rsid w:val="00320536"/>
    <w:rsid w:val="00324396"/>
    <w:rsid w:val="00325E33"/>
    <w:rsid w:val="003275E6"/>
    <w:rsid w:val="00334DF7"/>
    <w:rsid w:val="00341FC3"/>
    <w:rsid w:val="00354553"/>
    <w:rsid w:val="00354715"/>
    <w:rsid w:val="00370489"/>
    <w:rsid w:val="00382D38"/>
    <w:rsid w:val="00392C87"/>
    <w:rsid w:val="003A5FFA"/>
    <w:rsid w:val="003A67E1"/>
    <w:rsid w:val="003B61EA"/>
    <w:rsid w:val="003C05E7"/>
    <w:rsid w:val="003D4593"/>
    <w:rsid w:val="003E2C8B"/>
    <w:rsid w:val="003E710B"/>
    <w:rsid w:val="003F1C0E"/>
    <w:rsid w:val="004008D7"/>
    <w:rsid w:val="0040145D"/>
    <w:rsid w:val="0040661D"/>
    <w:rsid w:val="00411339"/>
    <w:rsid w:val="004131BD"/>
    <w:rsid w:val="00416CEA"/>
    <w:rsid w:val="00421AFD"/>
    <w:rsid w:val="00432048"/>
    <w:rsid w:val="00443663"/>
    <w:rsid w:val="004456D8"/>
    <w:rsid w:val="004518DB"/>
    <w:rsid w:val="004733AE"/>
    <w:rsid w:val="00477EBC"/>
    <w:rsid w:val="004A0A73"/>
    <w:rsid w:val="004A661C"/>
    <w:rsid w:val="004A6692"/>
    <w:rsid w:val="004B0792"/>
    <w:rsid w:val="004C4C9B"/>
    <w:rsid w:val="004D07DA"/>
    <w:rsid w:val="004D2FA0"/>
    <w:rsid w:val="004E1010"/>
    <w:rsid w:val="0050202A"/>
    <w:rsid w:val="00510C3B"/>
    <w:rsid w:val="00517A9D"/>
    <w:rsid w:val="0052032E"/>
    <w:rsid w:val="005220FF"/>
    <w:rsid w:val="00544D8F"/>
    <w:rsid w:val="00544EE1"/>
    <w:rsid w:val="005474BA"/>
    <w:rsid w:val="00553BDE"/>
    <w:rsid w:val="00562495"/>
    <w:rsid w:val="0056673B"/>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5F5068"/>
    <w:rsid w:val="00611891"/>
    <w:rsid w:val="00616E18"/>
    <w:rsid w:val="00621E7A"/>
    <w:rsid w:val="00623AED"/>
    <w:rsid w:val="00625203"/>
    <w:rsid w:val="00632157"/>
    <w:rsid w:val="00633971"/>
    <w:rsid w:val="0064121E"/>
    <w:rsid w:val="00655727"/>
    <w:rsid w:val="006575BE"/>
    <w:rsid w:val="00660354"/>
    <w:rsid w:val="00665B9B"/>
    <w:rsid w:val="006C6769"/>
    <w:rsid w:val="006D0901"/>
    <w:rsid w:val="006D3D54"/>
    <w:rsid w:val="006D4070"/>
    <w:rsid w:val="006D5C14"/>
    <w:rsid w:val="006D60E8"/>
    <w:rsid w:val="006E1A49"/>
    <w:rsid w:val="006F1B00"/>
    <w:rsid w:val="006F4B7A"/>
    <w:rsid w:val="006F7727"/>
    <w:rsid w:val="00700A59"/>
    <w:rsid w:val="00704179"/>
    <w:rsid w:val="00710142"/>
    <w:rsid w:val="00712E81"/>
    <w:rsid w:val="007174C1"/>
    <w:rsid w:val="00723919"/>
    <w:rsid w:val="007261D3"/>
    <w:rsid w:val="00734118"/>
    <w:rsid w:val="0073656E"/>
    <w:rsid w:val="0074596C"/>
    <w:rsid w:val="00762474"/>
    <w:rsid w:val="00770D7C"/>
    <w:rsid w:val="00775109"/>
    <w:rsid w:val="007814A8"/>
    <w:rsid w:val="00781A62"/>
    <w:rsid w:val="00782D13"/>
    <w:rsid w:val="00782D4C"/>
    <w:rsid w:val="00783C0E"/>
    <w:rsid w:val="00787135"/>
    <w:rsid w:val="0078721C"/>
    <w:rsid w:val="00787383"/>
    <w:rsid w:val="0079154F"/>
    <w:rsid w:val="00791B51"/>
    <w:rsid w:val="00795AD1"/>
    <w:rsid w:val="007A2EDC"/>
    <w:rsid w:val="007A7780"/>
    <w:rsid w:val="007B5456"/>
    <w:rsid w:val="007B5967"/>
    <w:rsid w:val="007B5F65"/>
    <w:rsid w:val="007B778E"/>
    <w:rsid w:val="007D3C7C"/>
    <w:rsid w:val="007F45AF"/>
    <w:rsid w:val="007F6574"/>
    <w:rsid w:val="0080285B"/>
    <w:rsid w:val="00804AF0"/>
    <w:rsid w:val="00805BD6"/>
    <w:rsid w:val="00806791"/>
    <w:rsid w:val="008101AB"/>
    <w:rsid w:val="0083371D"/>
    <w:rsid w:val="008468A8"/>
    <w:rsid w:val="00850CD4"/>
    <w:rsid w:val="00854A49"/>
    <w:rsid w:val="00880676"/>
    <w:rsid w:val="008A06BE"/>
    <w:rsid w:val="008A56FD"/>
    <w:rsid w:val="008C02D8"/>
    <w:rsid w:val="008D3DA6"/>
    <w:rsid w:val="008F7444"/>
    <w:rsid w:val="009060B0"/>
    <w:rsid w:val="0091399A"/>
    <w:rsid w:val="00926791"/>
    <w:rsid w:val="0093661C"/>
    <w:rsid w:val="00940736"/>
    <w:rsid w:val="00941E23"/>
    <w:rsid w:val="00950CF7"/>
    <w:rsid w:val="0095396E"/>
    <w:rsid w:val="009565AD"/>
    <w:rsid w:val="00957AE4"/>
    <w:rsid w:val="00957E59"/>
    <w:rsid w:val="00960A44"/>
    <w:rsid w:val="009765FD"/>
    <w:rsid w:val="009768C3"/>
    <w:rsid w:val="00976956"/>
    <w:rsid w:val="00977C43"/>
    <w:rsid w:val="0098446E"/>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46C5"/>
    <w:rsid w:val="00A151A1"/>
    <w:rsid w:val="00A17F01"/>
    <w:rsid w:val="00A24214"/>
    <w:rsid w:val="00A24557"/>
    <w:rsid w:val="00A248B2"/>
    <w:rsid w:val="00A26C59"/>
    <w:rsid w:val="00A27A64"/>
    <w:rsid w:val="00A37F80"/>
    <w:rsid w:val="00A46B3F"/>
    <w:rsid w:val="00A46F30"/>
    <w:rsid w:val="00A61169"/>
    <w:rsid w:val="00A63024"/>
    <w:rsid w:val="00A63A2F"/>
    <w:rsid w:val="00A6518C"/>
    <w:rsid w:val="00A82FCC"/>
    <w:rsid w:val="00A906A4"/>
    <w:rsid w:val="00AA574E"/>
    <w:rsid w:val="00AD07FD"/>
    <w:rsid w:val="00AD324E"/>
    <w:rsid w:val="00AD5B51"/>
    <w:rsid w:val="00AD7B78"/>
    <w:rsid w:val="00AF3CDF"/>
    <w:rsid w:val="00AF4118"/>
    <w:rsid w:val="00B20EE3"/>
    <w:rsid w:val="00B3526C"/>
    <w:rsid w:val="00B47534"/>
    <w:rsid w:val="00B84B54"/>
    <w:rsid w:val="00B92C7D"/>
    <w:rsid w:val="00B93BB2"/>
    <w:rsid w:val="00B9697B"/>
    <w:rsid w:val="00BA46C7"/>
    <w:rsid w:val="00BA4DA4"/>
    <w:rsid w:val="00BB7B45"/>
    <w:rsid w:val="00BC2E5F"/>
    <w:rsid w:val="00BC481E"/>
    <w:rsid w:val="00BC5AF6"/>
    <w:rsid w:val="00BD0DC2"/>
    <w:rsid w:val="00BD3E51"/>
    <w:rsid w:val="00BF0A84"/>
    <w:rsid w:val="00C03706"/>
    <w:rsid w:val="00C03F46"/>
    <w:rsid w:val="00C159BC"/>
    <w:rsid w:val="00C15A54"/>
    <w:rsid w:val="00C2214E"/>
    <w:rsid w:val="00C2519B"/>
    <w:rsid w:val="00C300A3"/>
    <w:rsid w:val="00C3782E"/>
    <w:rsid w:val="00C4022A"/>
    <w:rsid w:val="00C404D1"/>
    <w:rsid w:val="00C42176"/>
    <w:rsid w:val="00C434CB"/>
    <w:rsid w:val="00C50BE8"/>
    <w:rsid w:val="00C52914"/>
    <w:rsid w:val="00C5567D"/>
    <w:rsid w:val="00C60881"/>
    <w:rsid w:val="00C63F06"/>
    <w:rsid w:val="00C6590B"/>
    <w:rsid w:val="00C7131F"/>
    <w:rsid w:val="00CA5DB0"/>
    <w:rsid w:val="00CC1ADA"/>
    <w:rsid w:val="00CC3C20"/>
    <w:rsid w:val="00CC58ED"/>
    <w:rsid w:val="00CF1D10"/>
    <w:rsid w:val="00D145EC"/>
    <w:rsid w:val="00D41DA0"/>
    <w:rsid w:val="00D43C0B"/>
    <w:rsid w:val="00D44A74"/>
    <w:rsid w:val="00D54C2B"/>
    <w:rsid w:val="00D551D6"/>
    <w:rsid w:val="00D57CD2"/>
    <w:rsid w:val="00D57E66"/>
    <w:rsid w:val="00D73350"/>
    <w:rsid w:val="00D8033E"/>
    <w:rsid w:val="00D82231"/>
    <w:rsid w:val="00D86F58"/>
    <w:rsid w:val="00D8756E"/>
    <w:rsid w:val="00D938DD"/>
    <w:rsid w:val="00D974EA"/>
    <w:rsid w:val="00DA2207"/>
    <w:rsid w:val="00DC0F52"/>
    <w:rsid w:val="00DC18ED"/>
    <w:rsid w:val="00DC4726"/>
    <w:rsid w:val="00DD221F"/>
    <w:rsid w:val="00DD40D2"/>
    <w:rsid w:val="00DE5BBF"/>
    <w:rsid w:val="00E02EFC"/>
    <w:rsid w:val="00E03A99"/>
    <w:rsid w:val="00E041CD"/>
    <w:rsid w:val="00E10CFA"/>
    <w:rsid w:val="00E1463F"/>
    <w:rsid w:val="00E3403D"/>
    <w:rsid w:val="00E363A9"/>
    <w:rsid w:val="00E413E0"/>
    <w:rsid w:val="00E53AE3"/>
    <w:rsid w:val="00E5574A"/>
    <w:rsid w:val="00E64FB2"/>
    <w:rsid w:val="00E711BA"/>
    <w:rsid w:val="00E763A5"/>
    <w:rsid w:val="00E81E2C"/>
    <w:rsid w:val="00EA7CC3"/>
    <w:rsid w:val="00EB03A3"/>
    <w:rsid w:val="00EB5D2F"/>
    <w:rsid w:val="00EB77E6"/>
    <w:rsid w:val="00EC10EC"/>
    <w:rsid w:val="00ED2C6F"/>
    <w:rsid w:val="00ED6080"/>
    <w:rsid w:val="00ED640A"/>
    <w:rsid w:val="00EE0176"/>
    <w:rsid w:val="00EE322F"/>
    <w:rsid w:val="00EF0942"/>
    <w:rsid w:val="00EF291F"/>
    <w:rsid w:val="00F0218C"/>
    <w:rsid w:val="00F0393B"/>
    <w:rsid w:val="00F1342A"/>
    <w:rsid w:val="00F26B6E"/>
    <w:rsid w:val="00F313DD"/>
    <w:rsid w:val="00F378BE"/>
    <w:rsid w:val="00F43120"/>
    <w:rsid w:val="00F467F8"/>
    <w:rsid w:val="00F733B4"/>
    <w:rsid w:val="00F763A4"/>
    <w:rsid w:val="00F7722B"/>
    <w:rsid w:val="00F81CF2"/>
    <w:rsid w:val="00F87FD2"/>
    <w:rsid w:val="00F941B8"/>
    <w:rsid w:val="00F977C8"/>
    <w:rsid w:val="00FA5FA5"/>
    <w:rsid w:val="00FA79A7"/>
    <w:rsid w:val="00FC3621"/>
    <w:rsid w:val="00FC643D"/>
    <w:rsid w:val="00FD1DAF"/>
    <w:rsid w:val="00FD532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022A"/>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9">
    <w:name w:val="Table Grid"/>
    <w:basedOn w:val="a1"/>
    <w:rsid w:val="00611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A146C5"/>
    <w:pPr>
      <w:spacing w:before="100" w:beforeAutospacing="1" w:after="100" w:afterAutospacing="1"/>
    </w:pPr>
    <w:rPr>
      <w:rFonts w:ascii="宋体" w:eastAsia="宋体" w:hAnsi="宋体" w:cs="宋体"/>
      <w:sz w:val="24"/>
      <w:szCs w:val="24"/>
      <w:lang w:val="en-US" w:eastAsia="zh-CN"/>
    </w:rPr>
  </w:style>
  <w:style w:type="character" w:styleId="ab">
    <w:name w:val="Hyperlink"/>
    <w:uiPriority w:val="99"/>
    <w:unhideWhenUsed/>
    <w:rsid w:val="00A146C5"/>
    <w:rPr>
      <w:color w:val="0000FF"/>
      <w:u w:val="single"/>
    </w:rPr>
  </w:style>
  <w:style w:type="character" w:styleId="ac">
    <w:name w:val="Emphasis"/>
    <w:uiPriority w:val="20"/>
    <w:qFormat/>
    <w:rsid w:val="00A146C5"/>
    <w:rPr>
      <w:i/>
      <w:iCs/>
    </w:rPr>
  </w:style>
  <w:style w:type="character" w:styleId="ad">
    <w:name w:val="Strong"/>
    <w:uiPriority w:val="22"/>
    <w:qFormat/>
    <w:rsid w:val="00A146C5"/>
    <w:rPr>
      <w:b/>
      <w:bCs/>
    </w:rPr>
  </w:style>
  <w:style w:type="character" w:styleId="ae">
    <w:name w:val="FollowedHyperlink"/>
    <w:basedOn w:val="a0"/>
    <w:rsid w:val="00086ED0"/>
    <w:rPr>
      <w:color w:val="954F72" w:themeColor="followedHyperlink"/>
      <w:u w:val="single"/>
    </w:rPr>
  </w:style>
  <w:style w:type="character" w:customStyle="1" w:styleId="B2Char">
    <w:name w:val="B2 Char"/>
    <w:link w:val="B2"/>
    <w:locked/>
    <w:rsid w:val="00E711BA"/>
  </w:style>
  <w:style w:type="paragraph" w:customStyle="1" w:styleId="B2">
    <w:name w:val="B2"/>
    <w:basedOn w:val="21"/>
    <w:link w:val="B2Char"/>
    <w:rsid w:val="00E711BA"/>
    <w:pPr>
      <w:overflowPunct w:val="0"/>
      <w:autoSpaceDE w:val="0"/>
      <w:autoSpaceDN w:val="0"/>
      <w:adjustRightInd w:val="0"/>
      <w:spacing w:after="180"/>
      <w:ind w:leftChars="0" w:left="851" w:firstLineChars="0" w:hanging="284"/>
      <w:contextualSpacing w:val="0"/>
    </w:pPr>
    <w:rPr>
      <w:lang w:eastAsia="en-GB"/>
    </w:rPr>
  </w:style>
  <w:style w:type="paragraph" w:styleId="21">
    <w:name w:val="List 2"/>
    <w:basedOn w:val="a"/>
    <w:rsid w:val="00E711BA"/>
    <w:pPr>
      <w:ind w:leftChars="200" w:left="100" w:hangingChars="200" w:hanging="200"/>
      <w:contextualSpacing/>
    </w:pPr>
  </w:style>
  <w:style w:type="paragraph" w:customStyle="1" w:styleId="EX">
    <w:name w:val="EX"/>
    <w:basedOn w:val="a"/>
    <w:rsid w:val="00C434CB"/>
    <w:pPr>
      <w:keepLines/>
      <w:spacing w:after="180"/>
      <w:ind w:left="1702" w:hanging="1418"/>
    </w:pPr>
  </w:style>
  <w:style w:type="character" w:styleId="af">
    <w:name w:val="Unresolved Mention"/>
    <w:basedOn w:val="a0"/>
    <w:uiPriority w:val="99"/>
    <w:semiHidden/>
    <w:unhideWhenUsed/>
    <w:rsid w:val="00805BD6"/>
    <w:rPr>
      <w:color w:val="605E5C"/>
      <w:shd w:val="clear" w:color="auto" w:fill="E1DFDD"/>
    </w:rPr>
  </w:style>
  <w:style w:type="paragraph" w:styleId="af0">
    <w:name w:val="Balloon Text"/>
    <w:basedOn w:val="a"/>
    <w:link w:val="af1"/>
    <w:semiHidden/>
    <w:unhideWhenUsed/>
    <w:rsid w:val="00EB77E6"/>
    <w:rPr>
      <w:rFonts w:ascii="Microsoft YaHei UI" w:eastAsia="Microsoft YaHei UI"/>
      <w:sz w:val="18"/>
      <w:szCs w:val="18"/>
    </w:rPr>
  </w:style>
  <w:style w:type="character" w:customStyle="1" w:styleId="af1">
    <w:name w:val="批注框文本 字符"/>
    <w:basedOn w:val="a0"/>
    <w:link w:val="af0"/>
    <w:semiHidden/>
    <w:rsid w:val="00EB77E6"/>
    <w:rPr>
      <w:rFonts w:ascii="Microsoft YaHei UI" w:eastAsia="Microsoft YaHei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936142">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39704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514888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89071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79561150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50446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76239216">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04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132529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049688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22526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273879">
      <w:bodyDiv w:val="1"/>
      <w:marLeft w:val="0"/>
      <w:marRight w:val="0"/>
      <w:marTop w:val="0"/>
      <w:marBottom w:val="0"/>
      <w:divBdr>
        <w:top w:val="none" w:sz="0" w:space="0" w:color="auto"/>
        <w:left w:val="none" w:sz="0" w:space="0" w:color="auto"/>
        <w:bottom w:val="none" w:sz="0" w:space="0" w:color="auto"/>
        <w:right w:val="none" w:sz="0" w:space="0" w:color="auto"/>
      </w:divBdr>
    </w:div>
    <w:div w:id="124757182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883934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914055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1245575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299691">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93840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143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ietf.org/archive/id/draft-ietf-moq-transport-07.html" TargetMode="External"/><Relationship Id="rId4" Type="http://schemas.openxmlformats.org/officeDocument/2006/relationships/styles" Target="styles.xml"/><Relationship Id="rId9" Type="http://schemas.openxmlformats.org/officeDocument/2006/relationships/hyperlink" Target="https://www.ietf.org/archive/id/draft-ietf-moq-transport-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79B59-E4AF-4D16-AF30-6680CBB5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p:lastModifiedBy>
  <cp:revision>16</cp:revision>
  <cp:lastPrinted>2001-04-23T09:30:00Z</cp:lastPrinted>
  <dcterms:created xsi:type="dcterms:W3CDTF">2025-01-22T03:49:00Z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